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C8" w:rsidRDefault="009C7391" w:rsidP="000409C8">
      <w:pPr>
        <w:pStyle w:val="Odstavecseseznamem"/>
        <w:spacing w:after="200"/>
        <w:ind w:left="1440"/>
        <w:rPr>
          <w:rFonts w:ascii="Segoe UI" w:hAnsi="Segoe UI" w:cs="Segoe UI"/>
          <w:b w:val="0"/>
          <w:noProof/>
          <w:color w:val="767171" w:themeColor="background2" w:themeShade="80"/>
          <w:sz w:val="20"/>
          <w:szCs w:val="20"/>
          <w:lang w:bidi="cs-CZ"/>
        </w:rPr>
      </w:pPr>
      <w:r>
        <w:rPr>
          <w:rFonts w:ascii="Segoe UI" w:hAnsi="Segoe UI" w:cs="Segoe UI"/>
          <w:b w:val="0"/>
          <w:noProof/>
          <w:color w:val="767171" w:themeColor="background2" w:themeShade="80"/>
          <w:sz w:val="20"/>
          <w:szCs w:val="20"/>
          <w:lang w:bidi="cs-CZ"/>
        </w:rPr>
        <w:t xml:space="preserve"> </w:t>
      </w:r>
    </w:p>
    <w:p w:rsidR="00A40CD9" w:rsidRPr="00A40CD9" w:rsidRDefault="000409C8" w:rsidP="00387695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  <w:r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 xml:space="preserve"> </w:t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387695">
        <w:rPr>
          <w:rFonts w:ascii="Segoe UI" w:hAnsi="Segoe UI" w:cs="Segoe UI"/>
          <w:noProof/>
          <w:color w:val="767171" w:themeColor="background2" w:themeShade="80"/>
          <w:sz w:val="24"/>
          <w:szCs w:val="24"/>
          <w:lang w:bidi="cs-CZ"/>
        </w:rPr>
        <w:tab/>
      </w:r>
      <w:r w:rsidR="00A40CD9"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>Příloha č. 1</w:t>
      </w:r>
    </w:p>
    <w:p w:rsidR="00A40CD9" w:rsidRPr="00387695" w:rsidRDefault="00A40CD9" w:rsidP="00A40CD9">
      <w:pPr>
        <w:jc w:val="right"/>
        <w:rPr>
          <w:rFonts w:ascii="Segoe UI" w:hAnsi="Segoe UI" w:cs="Segoe UI"/>
          <w:color w:val="767171" w:themeColor="background2" w:themeShade="80"/>
          <w:szCs w:val="28"/>
        </w:rPr>
      </w:pPr>
      <w:r w:rsidRPr="00387695">
        <w:rPr>
          <w:rFonts w:ascii="Segoe UI" w:hAnsi="Segoe UI" w:cs="Segoe UI"/>
          <w:color w:val="767171" w:themeColor="background2" w:themeShade="80"/>
          <w:szCs w:val="28"/>
        </w:rPr>
        <w:t>Energetický management</w:t>
      </w:r>
    </w:p>
    <w:p w:rsid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Energetický management je soubor opatření a činností, jejichž cílem je efektivní řízení a snižování spotřeby energie. Jedná se o uzavřený cyklický proces neustálého zlepšování energetického hospodářství. </w:t>
      </w: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Podle normy ČSN EN ISO 50001:2018 je energetický management založen na principu neustálého zlepšování formulovaného pomocí 4 základních činností (PDCA): </w:t>
      </w: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>Plánuj (Plan)</w:t>
      </w:r>
      <w:r w:rsidR="00A0252C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Provádění sledování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spotřeby energie a stanovování výchozího stavu, ukazatelů energetické náročnosti, cílů, cílových hodnot a akčních plánů, nezbytných pro dosahování výsledků, které snižují energetickou náročnost v souladu s energetickou politikou organizace. </w:t>
      </w: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>Dělej (Do)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Zavádění akčních plánů managementu hospodaření s energií. Plánování, příprava a realizace konkrétních opatření, investičních i neinvestičních akcí ve správné časové souslednosti, na z</w:t>
      </w:r>
      <w:r w:rsidR="00A0252C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ákladě objektivních ukazatelů a 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podle stanoveného harmonogramu (obvykle roční plány v návaznosti na zavedený postup přípravy ročních rozpočtů). </w:t>
      </w: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>Kontroluj (Check)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Procesy monitorování a měř</w:t>
      </w:r>
      <w:r w:rsidR="00A0252C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ení,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klíčové charakteristiky činností, které determinují energetickou náročnost vzhledem k energetické politice, cílům a zprávám o výsledcích. </w:t>
      </w: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>Jednej (Act)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Provádění opatření k neustálému snižování energetické náročnosti a zlepšování systému. </w:t>
      </w: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Na základě </w:t>
      </w:r>
      <w:r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>tohoto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principu je možno pro každou organizaci (potažmo budovu) nastavit individuálně energetický management s hospodaření</w:t>
      </w:r>
      <w:r w:rsidR="00A0252C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m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s energií cílem postupného dosahování úspor energie, ale také </w:t>
      </w:r>
      <w:r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>ostatních provozních nákladů (např. spotřeby vody apod.)</w:t>
      </w:r>
      <w:r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a případně také zlepšení organizace práce. </w:t>
      </w:r>
    </w:p>
    <w:p w:rsid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A40CD9" w:rsidRDefault="00CD2C65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CD2C65">
        <w:rPr>
          <w:rFonts w:ascii="Segoe UI" w:hAnsi="Segoe UI" w:cs="Segoe UI"/>
          <w:b w:val="0"/>
          <w:noProof/>
          <w:color w:val="767171" w:themeColor="background2" w:themeShade="80"/>
          <w:sz w:val="20"/>
          <w:szCs w:val="20"/>
          <w:lang w:eastAsia="cs-CZ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3720465</wp:posOffset>
            </wp:positionH>
            <wp:positionV relativeFrom="paragraph">
              <wp:posOffset>1045210</wp:posOffset>
            </wp:positionV>
            <wp:extent cx="3009900" cy="3261995"/>
            <wp:effectExtent l="0" t="0" r="0" b="0"/>
            <wp:wrapThrough wrapText="bothSides">
              <wp:wrapPolygon edited="0">
                <wp:start x="0" y="0"/>
                <wp:lineTo x="0" y="21444"/>
                <wp:lineTo x="21463" y="21444"/>
                <wp:lineTo x="21463" y="0"/>
                <wp:lineTo x="0" y="0"/>
              </wp:wrapPolygon>
            </wp:wrapThrough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326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8CF" w:rsidRPr="000A2F0C">
        <w:rPr>
          <w:rFonts w:ascii="Segoe UI" w:hAnsi="Segoe UI" w:cs="Segoe UI"/>
          <w:noProof/>
          <w:color w:val="767171" w:themeColor="background2" w:themeShade="80"/>
          <w:szCs w:val="28"/>
          <w:lang w:eastAsia="cs-CZ"/>
        </w:rPr>
        <mc:AlternateContent>
          <mc:Choice Requires="wps">
            <w:drawing>
              <wp:anchor distT="91440" distB="91440" distL="114300" distR="114300" simplePos="0" relativeHeight="251675648" behindDoc="0" locked="0" layoutInCell="1" allowOverlap="1">
                <wp:simplePos x="0" y="0"/>
                <wp:positionH relativeFrom="page">
                  <wp:posOffset>400050</wp:posOffset>
                </wp:positionH>
                <wp:positionV relativeFrom="paragraph">
                  <wp:posOffset>605790</wp:posOffset>
                </wp:positionV>
                <wp:extent cx="3474720" cy="2400300"/>
                <wp:effectExtent l="0" t="0" r="0" b="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240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F0C" w:rsidRPr="00697A26" w:rsidRDefault="00CD2C65" w:rsidP="000A2F0C">
                            <w:pPr>
                              <w:pStyle w:val="Odstavecseseznamem"/>
                              <w:numPr>
                                <w:ilvl w:val="0"/>
                                <w:numId w:val="21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CD2C65">
                              <w:rPr>
                                <w:rFonts w:ascii="Segoe UI" w:hAnsi="Segoe UI" w:cs="Segoe UI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Analýza</w:t>
                            </w:r>
                            <w:r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(m</w:t>
                            </w:r>
                            <w:r w:rsidR="000A2F0C"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ěření</w:t>
                            </w:r>
                            <w:r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)</w:t>
                            </w:r>
                            <w:r w:rsidR="000A2F0C"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a</w:t>
                            </w:r>
                            <w:r w:rsidR="00A0252C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zaznamenávání spotřeby energie</w:t>
                            </w:r>
                            <w:r w:rsidR="000A2F0C"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0A2F0C" w:rsidRPr="00697A26" w:rsidRDefault="000A2F0C" w:rsidP="000A2F0C">
                            <w:pPr>
                              <w:pStyle w:val="Odstavecseseznamem"/>
                              <w:numPr>
                                <w:ilvl w:val="0"/>
                                <w:numId w:val="19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data o spotřebě energie (a vod</w:t>
                            </w:r>
                            <w:r w:rsidR="00A0252C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y) alespoň v měsíční frekvencí</w:t>
                            </w:r>
                            <w:r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A2F0C" w:rsidRPr="00697A26" w:rsidRDefault="000A2F0C" w:rsidP="000A2F0C">
                            <w:pPr>
                              <w:pStyle w:val="Odstavecseseznamem"/>
                              <w:numPr>
                                <w:ilvl w:val="0"/>
                                <w:numId w:val="21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CD2C65">
                              <w:rPr>
                                <w:rFonts w:ascii="Segoe UI" w:hAnsi="Segoe UI" w:cs="Segoe UI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Stanovení</w:t>
                            </w:r>
                            <w:r w:rsidR="00A0252C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potenciálu úspor energie</w:t>
                            </w:r>
                          </w:p>
                          <w:p w:rsidR="000A2F0C" w:rsidRPr="00697A26" w:rsidRDefault="000A2F0C" w:rsidP="000A2F0C">
                            <w:pPr>
                              <w:pStyle w:val="Odstavecseseznamem"/>
                              <w:numPr>
                                <w:ilvl w:val="0"/>
                                <w:numId w:val="19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stanovení výchozího stavu (přezkum spotřeby) </w:t>
                            </w:r>
                          </w:p>
                          <w:p w:rsidR="000A2F0C" w:rsidRPr="00697A26" w:rsidRDefault="000A2F0C" w:rsidP="000A2F0C">
                            <w:pPr>
                              <w:pStyle w:val="Odstavecseseznamem"/>
                              <w:numPr>
                                <w:ilvl w:val="0"/>
                                <w:numId w:val="21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CD2C65">
                              <w:rPr>
                                <w:rFonts w:ascii="Segoe UI" w:hAnsi="Segoe UI" w:cs="Segoe UI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Realizace</w:t>
                            </w:r>
                            <w:r w:rsidR="00A0252C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opatření na základě plánu</w:t>
                            </w:r>
                          </w:p>
                          <w:p w:rsidR="000A2F0C" w:rsidRPr="00697A26" w:rsidRDefault="000A2F0C" w:rsidP="000A2F0C">
                            <w:pPr>
                              <w:pStyle w:val="Odstavecseseznamem"/>
                              <w:numPr>
                                <w:ilvl w:val="0"/>
                                <w:numId w:val="21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CD2C65">
                              <w:rPr>
                                <w:rFonts w:ascii="Segoe UI" w:hAnsi="Segoe UI" w:cs="Segoe UI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Vyhodnocování</w:t>
                            </w:r>
                            <w:r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spotřeby energie a úč</w:t>
                            </w:r>
                            <w:r w:rsidR="00A0252C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innosti realizovaných opatření</w:t>
                            </w:r>
                          </w:p>
                          <w:p w:rsidR="000A2F0C" w:rsidRPr="00697A26" w:rsidRDefault="000A2F0C" w:rsidP="000A2F0C">
                            <w:pPr>
                              <w:pStyle w:val="Odstavecseseznamem"/>
                              <w:numPr>
                                <w:ilvl w:val="0"/>
                                <w:numId w:val="21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CD2C65">
                              <w:rPr>
                                <w:rFonts w:ascii="Segoe UI" w:hAnsi="Segoe UI" w:cs="Segoe UI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Porovnávání</w:t>
                            </w:r>
                            <w:r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velikosti úspor předpok</w:t>
                            </w:r>
                            <w:r w:rsidR="00A0252C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ládaných a skutečně dosažených</w:t>
                            </w:r>
                          </w:p>
                          <w:p w:rsidR="000A2F0C" w:rsidRPr="00697A26" w:rsidRDefault="000A2F0C" w:rsidP="000A2F0C">
                            <w:pPr>
                              <w:pStyle w:val="Odstavecseseznamem"/>
                              <w:numPr>
                                <w:ilvl w:val="0"/>
                                <w:numId w:val="21"/>
                              </w:numPr>
                              <w:spacing w:after="160" w:line="259" w:lineRule="auto"/>
                              <w:jc w:val="both"/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 w:rsidRPr="00CD2C65">
                              <w:rPr>
                                <w:rFonts w:ascii="Segoe UI" w:hAnsi="Segoe UI" w:cs="Segoe UI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Tvorba</w:t>
                            </w:r>
                            <w:r w:rsidRPr="00697A26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a aktualizace energetických koncepcí,</w:t>
                            </w:r>
                            <w:r w:rsidR="00A0252C">
                              <w:rPr>
                                <w:rFonts w:ascii="Segoe UI" w:hAnsi="Segoe UI" w:cs="Segoe UI"/>
                                <w:b w:val="0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energetických (akčních) plánů</w:t>
                            </w:r>
                          </w:p>
                          <w:p w:rsidR="000A2F0C" w:rsidRDefault="000A2F0C">
                            <w:pPr>
                              <w:pBdr>
                                <w:top w:val="single" w:sz="24" w:space="8" w:color="024F75" w:themeColor="accent1"/>
                                <w:bottom w:val="single" w:sz="24" w:space="8" w:color="024F75" w:themeColor="accent1"/>
                              </w:pBdr>
                              <w:rPr>
                                <w:i/>
                                <w:iCs/>
                                <w:color w:val="024F75" w:themeColor="accen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31.5pt;margin-top:47.7pt;width:273.6pt;height:189pt;z-index:251675648;visibility:visible;mso-wrap-style:square;mso-width-percent:585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" filled="f" stroked="f">
                <v:textbox>
                  <w:txbxContent>
                    <w:p w:rsidR="000A2F0C" w:rsidRPr="00697A26" w:rsidRDefault="00CD2C65" w:rsidP="000A2F0C">
                      <w:pPr>
                        <w:pStyle w:val="Odstavecseseznamem"/>
                        <w:numPr>
                          <w:ilvl w:val="0"/>
                          <w:numId w:val="21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CD2C65">
                        <w:rPr>
                          <w:rFonts w:ascii="Segoe UI" w:hAnsi="Segoe UI" w:cs="Segoe UI"/>
                          <w:color w:val="767171" w:themeColor="background2" w:themeShade="80"/>
                          <w:sz w:val="18"/>
                          <w:szCs w:val="18"/>
                        </w:rPr>
                        <w:t>Analýza</w:t>
                      </w:r>
                      <w:r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(m</w:t>
                      </w:r>
                      <w:r w:rsidR="000A2F0C"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>ěření</w:t>
                      </w:r>
                      <w:r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>)</w:t>
                      </w:r>
                      <w:r w:rsidR="000A2F0C"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a</w:t>
                      </w:r>
                      <w:r w:rsidR="00A0252C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zaznamenávání spotřeby energie</w:t>
                      </w:r>
                      <w:r w:rsidR="000A2F0C"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 </w:t>
                      </w:r>
                    </w:p>
                    <w:p w:rsidR="000A2F0C" w:rsidRPr="00697A26" w:rsidRDefault="000A2F0C" w:rsidP="000A2F0C">
                      <w:pPr>
                        <w:pStyle w:val="Odstavecseseznamem"/>
                        <w:numPr>
                          <w:ilvl w:val="0"/>
                          <w:numId w:val="19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>data o spotřebě energie (a vod</w:t>
                      </w:r>
                      <w:r w:rsidR="00A0252C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>y) alespoň v měsíční frekvencí</w:t>
                      </w:r>
                      <w:r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A2F0C" w:rsidRPr="00697A26" w:rsidRDefault="000A2F0C" w:rsidP="000A2F0C">
                      <w:pPr>
                        <w:pStyle w:val="Odstavecseseznamem"/>
                        <w:numPr>
                          <w:ilvl w:val="0"/>
                          <w:numId w:val="21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CD2C65">
                        <w:rPr>
                          <w:rFonts w:ascii="Segoe UI" w:hAnsi="Segoe UI" w:cs="Segoe UI"/>
                          <w:color w:val="767171" w:themeColor="background2" w:themeShade="80"/>
                          <w:sz w:val="18"/>
                          <w:szCs w:val="18"/>
                        </w:rPr>
                        <w:t>Stanovení</w:t>
                      </w:r>
                      <w:r w:rsidR="00A0252C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potenciálu úspor energie</w:t>
                      </w:r>
                    </w:p>
                    <w:p w:rsidR="000A2F0C" w:rsidRPr="00697A26" w:rsidRDefault="000A2F0C" w:rsidP="000A2F0C">
                      <w:pPr>
                        <w:pStyle w:val="Odstavecseseznamem"/>
                        <w:numPr>
                          <w:ilvl w:val="0"/>
                          <w:numId w:val="19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stanovení výchozího stavu (přezkum spotřeby) </w:t>
                      </w:r>
                    </w:p>
                    <w:p w:rsidR="000A2F0C" w:rsidRPr="00697A26" w:rsidRDefault="000A2F0C" w:rsidP="000A2F0C">
                      <w:pPr>
                        <w:pStyle w:val="Odstavecseseznamem"/>
                        <w:numPr>
                          <w:ilvl w:val="0"/>
                          <w:numId w:val="21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CD2C65">
                        <w:rPr>
                          <w:rFonts w:ascii="Segoe UI" w:hAnsi="Segoe UI" w:cs="Segoe UI"/>
                          <w:color w:val="767171" w:themeColor="background2" w:themeShade="80"/>
                          <w:sz w:val="18"/>
                          <w:szCs w:val="18"/>
                        </w:rPr>
                        <w:t>Realizace</w:t>
                      </w:r>
                      <w:r w:rsidR="00A0252C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opatření na základě plánu</w:t>
                      </w:r>
                    </w:p>
                    <w:p w:rsidR="000A2F0C" w:rsidRPr="00697A26" w:rsidRDefault="000A2F0C" w:rsidP="000A2F0C">
                      <w:pPr>
                        <w:pStyle w:val="Odstavecseseznamem"/>
                        <w:numPr>
                          <w:ilvl w:val="0"/>
                          <w:numId w:val="21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CD2C65">
                        <w:rPr>
                          <w:rFonts w:ascii="Segoe UI" w:hAnsi="Segoe UI" w:cs="Segoe UI"/>
                          <w:color w:val="767171" w:themeColor="background2" w:themeShade="80"/>
                          <w:sz w:val="18"/>
                          <w:szCs w:val="18"/>
                        </w:rPr>
                        <w:t>Vyhodnocování</w:t>
                      </w:r>
                      <w:r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spotřeby energie a úč</w:t>
                      </w:r>
                      <w:r w:rsidR="00A0252C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>innosti realizovaných opatření</w:t>
                      </w:r>
                    </w:p>
                    <w:p w:rsidR="000A2F0C" w:rsidRPr="00697A26" w:rsidRDefault="000A2F0C" w:rsidP="000A2F0C">
                      <w:pPr>
                        <w:pStyle w:val="Odstavecseseznamem"/>
                        <w:numPr>
                          <w:ilvl w:val="0"/>
                          <w:numId w:val="21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CD2C65">
                        <w:rPr>
                          <w:rFonts w:ascii="Segoe UI" w:hAnsi="Segoe UI" w:cs="Segoe UI"/>
                          <w:color w:val="767171" w:themeColor="background2" w:themeShade="80"/>
                          <w:sz w:val="18"/>
                          <w:szCs w:val="18"/>
                        </w:rPr>
                        <w:t>Porovnávání</w:t>
                      </w:r>
                      <w:r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velikosti úspor předpok</w:t>
                      </w:r>
                      <w:r w:rsidR="00A0252C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>ládaných a skutečně dosažených</w:t>
                      </w:r>
                    </w:p>
                    <w:p w:rsidR="000A2F0C" w:rsidRPr="00697A26" w:rsidRDefault="000A2F0C" w:rsidP="000A2F0C">
                      <w:pPr>
                        <w:pStyle w:val="Odstavecseseznamem"/>
                        <w:numPr>
                          <w:ilvl w:val="0"/>
                          <w:numId w:val="21"/>
                        </w:numPr>
                        <w:spacing w:after="160" w:line="259" w:lineRule="auto"/>
                        <w:jc w:val="both"/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 w:rsidRPr="00CD2C65">
                        <w:rPr>
                          <w:rFonts w:ascii="Segoe UI" w:hAnsi="Segoe UI" w:cs="Segoe UI"/>
                          <w:color w:val="767171" w:themeColor="background2" w:themeShade="80"/>
                          <w:sz w:val="18"/>
                          <w:szCs w:val="18"/>
                        </w:rPr>
                        <w:t>Tvorba</w:t>
                      </w:r>
                      <w:r w:rsidRPr="00697A26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a aktualizace energetických koncepcí,</w:t>
                      </w:r>
                      <w:r w:rsidR="00A0252C">
                        <w:rPr>
                          <w:rFonts w:ascii="Segoe UI" w:hAnsi="Segoe UI" w:cs="Segoe UI"/>
                          <w:b w:val="0"/>
                          <w:color w:val="767171" w:themeColor="background2" w:themeShade="80"/>
                          <w:sz w:val="18"/>
                          <w:szCs w:val="18"/>
                        </w:rPr>
                        <w:t xml:space="preserve"> energetických (akčních) plánů</w:t>
                      </w:r>
                    </w:p>
                    <w:p w:rsidR="000A2F0C" w:rsidRDefault="000A2F0C">
                      <w:pPr>
                        <w:pBdr>
                          <w:top w:val="single" w:sz="24" w:space="8" w:color="024F75" w:themeColor="accent1"/>
                          <w:bottom w:val="single" w:sz="24" w:space="8" w:color="024F75" w:themeColor="accent1"/>
                        </w:pBdr>
                        <w:rPr>
                          <w:i/>
                          <w:iCs/>
                          <w:color w:val="024F75" w:themeColor="accent1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40CD9" w:rsidRPr="00A40CD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Jedná se o uzavřený cyklický proces neustálého zlepšování energetického hospodářství, který se (bez ohledu na velikost organizace) skládá zejména z těchto činností:  </w:t>
      </w:r>
    </w:p>
    <w:p w:rsidR="00A40CD9" w:rsidRPr="00A40CD9" w:rsidRDefault="00A40CD9" w:rsidP="00A40CD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A40CD9" w:rsidRPr="00214CFE" w:rsidRDefault="00A40CD9" w:rsidP="00A40CD9">
      <w:pPr>
        <w:jc w:val="center"/>
        <w:rPr>
          <w:rFonts w:ascii="Segoe UI" w:hAnsi="Segoe UI" w:cs="Segoe UI"/>
          <w:color w:val="3B33A1" w:themeColor="text1" w:themeTint="A6"/>
          <w:sz w:val="18"/>
          <w:szCs w:val="18"/>
        </w:rPr>
      </w:pPr>
    </w:p>
    <w:p w:rsidR="000A2F0C" w:rsidRDefault="000A2F0C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DC0E08" w:rsidRDefault="00DC0E08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B351C6" w:rsidRDefault="00B351C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4A4376" w:rsidRPr="004A4376" w:rsidRDefault="004A4376" w:rsidP="004A4376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color w:val="767171" w:themeColor="background2" w:themeShade="80"/>
          <w:sz w:val="20"/>
          <w:szCs w:val="20"/>
        </w:rPr>
        <w:t xml:space="preserve">Příloha č. 2                                                          </w:t>
      </w:r>
    </w:p>
    <w:p w:rsidR="004A4376" w:rsidRPr="004A4376" w:rsidRDefault="004A4376" w:rsidP="004A4376">
      <w:pPr>
        <w:jc w:val="right"/>
        <w:rPr>
          <w:rFonts w:ascii="Segoe UI" w:eastAsiaTheme="minorHAnsi" w:hAnsi="Segoe UI" w:cs="Segoe UI"/>
          <w:color w:val="767171" w:themeColor="background2" w:themeShade="80"/>
          <w:szCs w:val="28"/>
        </w:rPr>
      </w:pPr>
      <w:r w:rsidRPr="004A4376">
        <w:rPr>
          <w:rFonts w:ascii="Segoe UI" w:hAnsi="Segoe UI" w:cs="Segoe UI"/>
          <w:color w:val="767171" w:themeColor="background2" w:themeShade="80"/>
          <w:szCs w:val="28"/>
        </w:rPr>
        <w:t>Základní princip metody EPC</w:t>
      </w:r>
    </w:p>
    <w:p w:rsidR="004A4376" w:rsidRPr="004A4376" w:rsidRDefault="004A4376" w:rsidP="004A4376">
      <w:pPr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4A4376" w:rsidRPr="004A4376" w:rsidRDefault="004A4376" w:rsidP="004A4376">
      <w:pPr>
        <w:pStyle w:val="Zkladntext"/>
        <w:tabs>
          <w:tab w:val="left" w:pos="618"/>
        </w:tabs>
        <w:spacing w:before="40"/>
        <w:ind w:left="0" w:right="96"/>
        <w:jc w:val="both"/>
        <w:rPr>
          <w:rFonts w:cs="Segoe UI"/>
          <w:color w:val="767171" w:themeColor="background2" w:themeShade="80"/>
          <w:sz w:val="20"/>
          <w:szCs w:val="20"/>
        </w:rPr>
      </w:pPr>
      <w:r w:rsidRPr="004A4376">
        <w:rPr>
          <w:rFonts w:cs="Segoe UI"/>
          <w:color w:val="767171" w:themeColor="background2" w:themeShade="80"/>
          <w:sz w:val="20"/>
          <w:szCs w:val="20"/>
        </w:rPr>
        <w:t xml:space="preserve">EPC (z angl. Energy Performance Contracting) se v překladu do češtiny definuje jako </w:t>
      </w:r>
      <w:r w:rsidRPr="004A4376">
        <w:rPr>
          <w:rFonts w:cs="Segoe UI"/>
          <w:b/>
          <w:color w:val="767171" w:themeColor="background2" w:themeShade="80"/>
          <w:sz w:val="20"/>
          <w:szCs w:val="20"/>
        </w:rPr>
        <w:t xml:space="preserve">poskytování energetických služeb se zaručeným výsledkem, případně jako energetické služby se </w:t>
      </w:r>
      <w:r w:rsidRPr="00510AE5">
        <w:rPr>
          <w:rFonts w:cs="Segoe UI"/>
          <w:b/>
          <w:color w:val="767171" w:themeColor="background2" w:themeShade="80"/>
          <w:sz w:val="20"/>
          <w:szCs w:val="20"/>
        </w:rPr>
        <w:t>zárukou úspor</w:t>
      </w:r>
      <w:r w:rsidRPr="004A4376">
        <w:rPr>
          <w:rFonts w:cs="Segoe UI"/>
          <w:color w:val="767171" w:themeColor="background2" w:themeShade="80"/>
          <w:sz w:val="20"/>
          <w:szCs w:val="20"/>
        </w:rPr>
        <w:t xml:space="preserve">.   </w:t>
      </w:r>
    </w:p>
    <w:p w:rsidR="004A4376" w:rsidRPr="004A4376" w:rsidRDefault="004A4376" w:rsidP="00387695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4A4376" w:rsidRPr="00387695" w:rsidRDefault="004A4376" w:rsidP="00387695">
      <w:pPr>
        <w:pStyle w:val="Odrkybod"/>
        <w:numPr>
          <w:ilvl w:val="0"/>
          <w:numId w:val="6"/>
        </w:numPr>
        <w:spacing w:line="240" w:lineRule="auto"/>
        <w:rPr>
          <w:rFonts w:ascii="Segoe UI" w:eastAsiaTheme="minorHAnsi" w:hAnsi="Segoe UI" w:cs="Segoe UI"/>
          <w:color w:val="767171" w:themeColor="background2" w:themeShade="80"/>
        </w:rPr>
      </w:pPr>
      <w:r w:rsidRPr="00387695">
        <w:rPr>
          <w:rFonts w:ascii="Segoe UI" w:eastAsiaTheme="minorHAnsi" w:hAnsi="Segoe UI" w:cs="Segoe UI"/>
          <w:color w:val="767171" w:themeColor="background2" w:themeShade="80"/>
        </w:rPr>
        <w:t>Základní princip metody EPC – náklady na zavedení úsporných opatření j</w:t>
      </w:r>
      <w:r w:rsidR="00510AE5">
        <w:rPr>
          <w:rFonts w:ascii="Segoe UI" w:eastAsiaTheme="minorHAnsi" w:hAnsi="Segoe UI" w:cs="Segoe UI"/>
          <w:color w:val="767171" w:themeColor="background2" w:themeShade="80"/>
        </w:rPr>
        <w:t>sou spláceny z dosažených úspor.</w:t>
      </w:r>
      <w:r w:rsidRPr="00387695">
        <w:rPr>
          <w:rFonts w:ascii="Segoe UI" w:eastAsiaTheme="minorHAnsi" w:hAnsi="Segoe UI" w:cs="Segoe UI"/>
          <w:color w:val="767171" w:themeColor="background2" w:themeShade="80"/>
        </w:rPr>
        <w:t xml:space="preserve"> </w:t>
      </w:r>
    </w:p>
    <w:p w:rsidR="004A4376" w:rsidRPr="00387695" w:rsidRDefault="004A4376" w:rsidP="00387695">
      <w:pPr>
        <w:pStyle w:val="Odrkybod"/>
        <w:numPr>
          <w:ilvl w:val="0"/>
          <w:numId w:val="6"/>
        </w:numPr>
        <w:spacing w:line="240" w:lineRule="auto"/>
        <w:rPr>
          <w:rFonts w:ascii="Segoe UI" w:eastAsiaTheme="minorHAnsi" w:hAnsi="Segoe UI" w:cs="Segoe UI"/>
          <w:color w:val="767171" w:themeColor="background2" w:themeShade="80"/>
        </w:rPr>
      </w:pPr>
      <w:r w:rsidRPr="00387695">
        <w:rPr>
          <w:rFonts w:ascii="Segoe UI" w:eastAsiaTheme="minorHAnsi" w:hAnsi="Segoe UI" w:cs="Segoe UI"/>
          <w:color w:val="767171" w:themeColor="background2" w:themeShade="80"/>
        </w:rPr>
        <w:t>Pro celý projekt je jen jeden dodavatel - společnost energetických</w:t>
      </w:r>
      <w:r w:rsidR="00510AE5">
        <w:rPr>
          <w:rFonts w:ascii="Segoe UI" w:eastAsiaTheme="minorHAnsi" w:hAnsi="Segoe UI" w:cs="Segoe UI"/>
          <w:color w:val="767171" w:themeColor="background2" w:themeShade="80"/>
        </w:rPr>
        <w:t xml:space="preserve"> služeb označovaná jako ESCO (z </w:t>
      </w:r>
      <w:r w:rsidRPr="00387695">
        <w:rPr>
          <w:rFonts w:ascii="Segoe UI" w:eastAsiaTheme="minorHAnsi" w:hAnsi="Segoe UI" w:cs="Segoe UI"/>
          <w:color w:val="767171" w:themeColor="background2" w:themeShade="80"/>
        </w:rPr>
        <w:t xml:space="preserve">anglického Energy Service Company). ESCO na sebe bere většinu finančních i technických rizik projektu. </w:t>
      </w:r>
    </w:p>
    <w:p w:rsidR="004A4376" w:rsidRPr="00387695" w:rsidRDefault="004A4376" w:rsidP="00387695">
      <w:pPr>
        <w:pStyle w:val="Odrkybod"/>
        <w:numPr>
          <w:ilvl w:val="0"/>
          <w:numId w:val="6"/>
        </w:numPr>
        <w:spacing w:line="240" w:lineRule="auto"/>
        <w:rPr>
          <w:rFonts w:ascii="Segoe UI" w:eastAsiaTheme="minorHAnsi" w:hAnsi="Segoe UI" w:cs="Segoe UI"/>
          <w:color w:val="767171" w:themeColor="background2" w:themeShade="80"/>
        </w:rPr>
      </w:pPr>
      <w:r w:rsidRPr="00387695">
        <w:rPr>
          <w:rFonts w:ascii="Segoe UI" w:eastAsiaTheme="minorHAnsi" w:hAnsi="Segoe UI" w:cs="Segoe UI"/>
          <w:color w:val="767171" w:themeColor="background2" w:themeShade="80"/>
        </w:rPr>
        <w:t>Průběžné dosahování úspor energie a provozních nákladů na základě ustanovení ve smlouvě</w:t>
      </w:r>
      <w:r w:rsidR="00510AE5">
        <w:rPr>
          <w:rFonts w:ascii="Segoe UI" w:eastAsiaTheme="minorHAnsi" w:hAnsi="Segoe UI" w:cs="Segoe UI"/>
          <w:color w:val="767171" w:themeColor="background2" w:themeShade="80"/>
        </w:rPr>
        <w:t>.</w:t>
      </w:r>
      <w:r w:rsidRPr="00387695">
        <w:rPr>
          <w:rFonts w:ascii="Segoe UI" w:eastAsiaTheme="minorHAnsi" w:hAnsi="Segoe UI" w:cs="Segoe UI"/>
          <w:color w:val="767171" w:themeColor="background2" w:themeShade="80"/>
        </w:rPr>
        <w:t xml:space="preserve"> </w:t>
      </w:r>
    </w:p>
    <w:p w:rsidR="004A4376" w:rsidRPr="00387695" w:rsidRDefault="004A4376" w:rsidP="00387695">
      <w:pPr>
        <w:pStyle w:val="Odrkybod"/>
        <w:numPr>
          <w:ilvl w:val="0"/>
          <w:numId w:val="6"/>
        </w:numPr>
        <w:spacing w:line="240" w:lineRule="auto"/>
        <w:rPr>
          <w:rFonts w:ascii="Segoe UI" w:eastAsiaTheme="minorHAnsi" w:hAnsi="Segoe UI" w:cs="Segoe UI"/>
          <w:color w:val="767171" w:themeColor="background2" w:themeShade="80"/>
        </w:rPr>
      </w:pPr>
      <w:r w:rsidRPr="00387695">
        <w:rPr>
          <w:rFonts w:ascii="Segoe UI" w:eastAsiaTheme="minorHAnsi" w:hAnsi="Segoe UI" w:cs="Segoe UI"/>
          <w:color w:val="767171" w:themeColor="background2" w:themeShade="80"/>
        </w:rPr>
        <w:t xml:space="preserve">Metoda EPC je obecně vhodná pro objekty, kde lze snížit spotřebu energie souborem ekonomicky návratných opatření. </w:t>
      </w:r>
    </w:p>
    <w:p w:rsidR="004A4376" w:rsidRDefault="004A4376" w:rsidP="004A4376">
      <w:pPr>
        <w:rPr>
          <w:rFonts w:ascii="Segoe UI" w:hAnsi="Segoe UI" w:cs="Segoe UI"/>
          <w:color w:val="3B33A1" w:themeColor="text1" w:themeTint="A6"/>
          <w:sz w:val="18"/>
          <w:szCs w:val="18"/>
        </w:rPr>
      </w:pPr>
    </w:p>
    <w:p w:rsidR="004A4376" w:rsidRDefault="004A4376" w:rsidP="004A4376">
      <w:pPr>
        <w:jc w:val="center"/>
        <w:rPr>
          <w:rFonts w:ascii="Segoe UI" w:hAnsi="Segoe UI" w:cs="Segoe UI"/>
          <w:color w:val="3B33A1" w:themeColor="text1" w:themeTint="A6"/>
          <w:sz w:val="18"/>
          <w:szCs w:val="18"/>
        </w:rPr>
      </w:pPr>
      <w:r>
        <w:rPr>
          <w:rFonts w:ascii="Segoe UI" w:hAnsi="Segoe UI" w:cs="Segoe UI"/>
          <w:noProof/>
          <w:color w:val="3B33A1" w:themeColor="text1" w:themeTint="A6"/>
          <w:sz w:val="18"/>
          <w:szCs w:val="18"/>
          <w:lang w:eastAsia="cs-CZ"/>
        </w:rPr>
        <w:drawing>
          <wp:inline distT="0" distB="0" distL="0" distR="0">
            <wp:extent cx="5380954" cy="368617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243" cy="3687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279400"/>
                    </a:effectLst>
                  </pic:spPr>
                </pic:pic>
              </a:graphicData>
            </a:graphic>
          </wp:inline>
        </w:drawing>
      </w:r>
    </w:p>
    <w:p w:rsidR="004A4376" w:rsidRDefault="004A4376" w:rsidP="004A4376">
      <w:pPr>
        <w:ind w:left="7080" w:firstLine="708"/>
        <w:rPr>
          <w:rFonts w:ascii="Segoe UI" w:hAnsi="Segoe UI" w:cs="Segoe UI"/>
          <w:color w:val="3B33A1" w:themeColor="text1" w:themeTint="A6"/>
          <w:sz w:val="18"/>
          <w:szCs w:val="18"/>
        </w:rPr>
      </w:pPr>
      <w:r w:rsidRPr="00A40CD9">
        <w:rPr>
          <w:rFonts w:ascii="Segoe UI" w:hAnsi="Segoe UI" w:cs="Segoe UI"/>
          <w:color w:val="767171" w:themeColor="background2" w:themeShade="80"/>
          <w:sz w:val="20"/>
          <w:szCs w:val="20"/>
        </w:rPr>
        <w:t xml:space="preserve">Zdroj: </w:t>
      </w:r>
      <w:hyperlink r:id="rId11" w:history="1">
        <w:r>
          <w:rPr>
            <w:rStyle w:val="Hypertextovodkaz"/>
            <w:rFonts w:ascii="Segoe UI" w:hAnsi="Segoe UI" w:cs="Segoe UI"/>
            <w:color w:val="7BB7DF" w:themeColor="hyperlink" w:themeTint="A6"/>
            <w:sz w:val="24"/>
            <w:szCs w:val="24"/>
          </w:rPr>
          <w:t>apes.cz</w:t>
        </w:r>
      </w:hyperlink>
    </w:p>
    <w:p w:rsidR="004A4376" w:rsidRPr="004A4376" w:rsidRDefault="004A4376" w:rsidP="004A4376">
      <w:pPr>
        <w:rPr>
          <w:rFonts w:ascii="Segoe UI" w:hAnsi="Segoe UI" w:cs="Segoe UI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color w:val="767171" w:themeColor="background2" w:themeShade="80"/>
          <w:sz w:val="20"/>
          <w:szCs w:val="20"/>
        </w:rPr>
        <w:t xml:space="preserve">Charakteristika metody EPC </w:t>
      </w:r>
    </w:p>
    <w:p w:rsidR="004A4376" w:rsidRPr="004A4376" w:rsidRDefault="004A4376" w:rsidP="004A4376">
      <w:pPr>
        <w:pStyle w:val="Odstavecseseznamem"/>
        <w:numPr>
          <w:ilvl w:val="0"/>
          <w:numId w:val="18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Záruka za úspěšnost projektu – dodavatel smluvně ručí za dosažení úspor a také za návratnost vynaložených prostředků. </w:t>
      </w:r>
    </w:p>
    <w:p w:rsidR="004A4376" w:rsidRPr="004A4376" w:rsidRDefault="004A4376" w:rsidP="004A4376">
      <w:pPr>
        <w:pStyle w:val="Odstavecseseznamem"/>
        <w:numPr>
          <w:ilvl w:val="0"/>
          <w:numId w:val="18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Dlouhodobě dosahované snížení spotřeby energie a dalších provozních nákladů</w:t>
      </w:r>
    </w:p>
    <w:p w:rsidR="004A4376" w:rsidRPr="004A4376" w:rsidRDefault="004A4376" w:rsidP="004A4376">
      <w:pPr>
        <w:pStyle w:val="Odstavecseseznamem"/>
        <w:numPr>
          <w:ilvl w:val="0"/>
          <w:numId w:val="18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Jeden dodavatel realizuje projekt od začátku do konce: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zpracovává projektovou dokumentaci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instaluje navržená opatření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garantuje objem dosažených úspor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provádí energetický management</w:t>
      </w:r>
    </w:p>
    <w:p w:rsidR="004A4376" w:rsidRPr="004A4376" w:rsidRDefault="004A4376" w:rsidP="004A4376">
      <w:pPr>
        <w:pStyle w:val="Odstavecseseznamem"/>
        <w:numPr>
          <w:ilvl w:val="0"/>
          <w:numId w:val="18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Dodavatel i zákazník mají stejnou motivaci – optimální výše investice s co nejvyšší mírou úspor </w:t>
      </w:r>
    </w:p>
    <w:p w:rsidR="004A4376" w:rsidRPr="004A4376" w:rsidRDefault="004A4376" w:rsidP="004A4376">
      <w:pPr>
        <w:pStyle w:val="Odstavecseseznamem"/>
        <w:numPr>
          <w:ilvl w:val="0"/>
          <w:numId w:val="18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Možnost zajištění financování projektu firmou energetických služeb</w:t>
      </w:r>
    </w:p>
    <w:p w:rsidR="004A4376" w:rsidRPr="004A4376" w:rsidRDefault="004A4376" w:rsidP="004A4376">
      <w:pPr>
        <w:pStyle w:val="Odstavecseseznamem"/>
        <w:numPr>
          <w:ilvl w:val="0"/>
          <w:numId w:val="18"/>
        </w:numPr>
        <w:spacing w:after="160" w:line="256" w:lineRule="auto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Zlepšení kvality pracovního prostředí a životního prostředí</w:t>
      </w:r>
    </w:p>
    <w:p w:rsidR="004A4376" w:rsidRPr="004A4376" w:rsidRDefault="004A4376" w:rsidP="004A4376">
      <w:pPr>
        <w:rPr>
          <w:rFonts w:ascii="Segoe UI" w:hAnsi="Segoe UI" w:cs="Segoe UI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color w:val="767171" w:themeColor="background2" w:themeShade="80"/>
          <w:sz w:val="20"/>
          <w:szCs w:val="20"/>
        </w:rPr>
        <w:t xml:space="preserve">Fáze projektu EPC </w:t>
      </w:r>
    </w:p>
    <w:p w:rsidR="004A4376" w:rsidRPr="00510AE5" w:rsidRDefault="004A4376" w:rsidP="001D6498">
      <w:pPr>
        <w:pStyle w:val="Odstavecseseznamem"/>
        <w:numPr>
          <w:ilvl w:val="0"/>
          <w:numId w:val="23"/>
        </w:num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</w:pPr>
      <w:r w:rsidRPr="00510AE5"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  <w:t xml:space="preserve">Nutný první krok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Prověření ekonomické a technické vhodnosti využití metody EPC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Zajištění odborné kvalifikace pro přípravu výběrového řízení a EPC smlouvy (obvykle nezávislým externím dodavatelem – nutná kombinace technických a procesních znalostí) </w:t>
      </w:r>
    </w:p>
    <w:p w:rsidR="004A4376" w:rsidRPr="004A4376" w:rsidRDefault="004A4376" w:rsidP="004A4376">
      <w:pPr>
        <w:pStyle w:val="Odstavecseseznamem"/>
        <w:jc w:val="both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4A4376" w:rsidRPr="00510AE5" w:rsidRDefault="004A4376" w:rsidP="001D6498">
      <w:pPr>
        <w:pStyle w:val="Odstavecseseznamem"/>
        <w:numPr>
          <w:ilvl w:val="0"/>
          <w:numId w:val="23"/>
        </w:num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</w:pPr>
      <w:r w:rsidRPr="00510AE5"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  <w:t xml:space="preserve">Výběr dodavatele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veřejná zakázka na projekt EPC je zpravidla řešena formou jednacího řízení s uveřejněním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stanovení vhodných hodnotících kritérií a kompletace mnoha informací do zadávací dokumentace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výběr dodavatele v několikakolovém jednacím procesu </w:t>
      </w:r>
    </w:p>
    <w:p w:rsidR="004A4376" w:rsidRPr="004A4376" w:rsidRDefault="004A4376" w:rsidP="004A4376">
      <w:pPr>
        <w:pStyle w:val="Odstavecseseznamem"/>
        <w:jc w:val="both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4A4376" w:rsidRPr="00510AE5" w:rsidRDefault="004A4376" w:rsidP="001D6498">
      <w:pPr>
        <w:pStyle w:val="Odstavecseseznamem"/>
        <w:numPr>
          <w:ilvl w:val="0"/>
          <w:numId w:val="23"/>
        </w:num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</w:pPr>
      <w:r w:rsidRPr="00510AE5"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  <w:t>Uzavření smlouvy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návrh smlouvy je vždy již v zadávací dokumentaci, ale část Příloh je předmětem soutěže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smlouva na EPC je obsáhlá, komplexní a vyvážená (je potřeba jí věnovat velkou pozornost) </w:t>
      </w:r>
    </w:p>
    <w:p w:rsidR="004A4376" w:rsidRPr="004A4376" w:rsidRDefault="004A4376" w:rsidP="004A4376">
      <w:pPr>
        <w:pStyle w:val="Odstavecseseznamem"/>
        <w:numPr>
          <w:ilvl w:val="0"/>
          <w:numId w:val="19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důležité prvky smlouvy: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stanovení výchozí spotřeby energie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stanovení záruk dodavatele za dosažení garantovaných úspor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stanovení způsobu provozu budov či zařízení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metodika vyhodnocování a sledování úspor </w:t>
      </w:r>
    </w:p>
    <w:p w:rsidR="004A4376" w:rsidRPr="004A4376" w:rsidRDefault="004A4376" w:rsidP="004A4376">
      <w:pPr>
        <w:pStyle w:val="Odstavecseseznamem"/>
        <w:ind w:left="2148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4A4376" w:rsidRPr="00510AE5" w:rsidRDefault="004A4376" w:rsidP="001D6498">
      <w:pPr>
        <w:pStyle w:val="Odstavecseseznamem"/>
        <w:numPr>
          <w:ilvl w:val="0"/>
          <w:numId w:val="23"/>
        </w:num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</w:pPr>
      <w:r w:rsidRPr="00510AE5"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  <w:t xml:space="preserve">Realizace projektu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zpracování (dopracování) projektové dokumentace, schvalovací procesy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instalace sjednaných energeticky úsporných opatření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komplexní zkoušky funkčnosti zařízení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stanovení pravidel provozu instalovaného zařízení (školení personálu) </w:t>
      </w:r>
    </w:p>
    <w:p w:rsidR="004A4376" w:rsidRPr="004A4376" w:rsidRDefault="004A4376" w:rsidP="004A4376">
      <w:pPr>
        <w:ind w:left="708"/>
        <w:rPr>
          <w:rFonts w:ascii="Segoe UI" w:hAnsi="Segoe UI" w:cs="Segoe UI"/>
          <w:color w:val="767171" w:themeColor="background2" w:themeShade="80"/>
          <w:sz w:val="20"/>
          <w:szCs w:val="20"/>
        </w:rPr>
      </w:pPr>
    </w:p>
    <w:p w:rsidR="004A4376" w:rsidRPr="00510AE5" w:rsidRDefault="004A4376" w:rsidP="001D6498">
      <w:pPr>
        <w:pStyle w:val="Odstavecseseznamem"/>
        <w:numPr>
          <w:ilvl w:val="0"/>
          <w:numId w:val="23"/>
        </w:num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</w:pPr>
      <w:r w:rsidRPr="00510AE5">
        <w:rPr>
          <w:rFonts w:ascii="Segoe UI" w:hAnsi="Segoe UI" w:cs="Segoe UI"/>
          <w:b w:val="0"/>
          <w:color w:val="767171" w:themeColor="background2" w:themeShade="80"/>
          <w:sz w:val="20"/>
          <w:szCs w:val="20"/>
          <w:u w:val="single"/>
        </w:rPr>
        <w:t xml:space="preserve">Sledování a hodnocení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za účinnost zařízení zodpovídá dodavatel (ale obvykle zařízení neprovozuje) 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průběžné sledování provozu s celkovým vyhodnocení</w:t>
      </w:r>
      <w:r w:rsidR="00510AE5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m</w:t>
      </w: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dosažených úspor nejméně jednou ročně</w:t>
      </w:r>
    </w:p>
    <w:p w:rsidR="004A4376" w:rsidRPr="004A4376" w:rsidRDefault="004A4376" w:rsidP="004A4376">
      <w:pPr>
        <w:pStyle w:val="Odstavecseseznamem"/>
        <w:numPr>
          <w:ilvl w:val="0"/>
          <w:numId w:val="20"/>
        </w:numPr>
        <w:spacing w:after="160" w:line="256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4A4376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v případě nedosažení zaručené výše úspory má dodavatel závazek rozdíl uhradit </w:t>
      </w:r>
    </w:p>
    <w:p w:rsidR="004A4376" w:rsidRDefault="001D6498" w:rsidP="004A4376">
      <w:pPr>
        <w:jc w:val="both"/>
        <w:rPr>
          <w:rFonts w:ascii="Segoe UI" w:hAnsi="Segoe UI" w:cs="Segoe UI"/>
          <w:color w:val="3B33A1" w:themeColor="text1" w:themeTint="A6"/>
          <w:sz w:val="18"/>
          <w:szCs w:val="18"/>
        </w:rPr>
      </w:pPr>
      <w:r w:rsidRPr="004A4376">
        <w:rPr>
          <w:rFonts w:ascii="Segoe UI" w:hAnsi="Segoe UI" w:cs="Segoe UI"/>
          <w:b w:val="0"/>
          <w:noProof/>
          <w:color w:val="767171" w:themeColor="background2" w:themeShade="80"/>
          <w:sz w:val="20"/>
          <w:szCs w:val="20"/>
          <w:lang w:eastAsia="cs-C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5915025" cy="3321050"/>
            <wp:effectExtent l="0" t="0" r="9525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321050"/>
                    </a:xfrm>
                    <a:prstGeom prst="rect">
                      <a:avLst/>
                    </a:prstGeom>
                    <a:noFill/>
                    <a:effectLst>
                      <a:softEdge rad="2794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0720" w:rsidRDefault="00D30720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603429" w:rsidRDefault="00603429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4367B5" w:rsidRDefault="004367B5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p w:rsidR="00603429" w:rsidRPr="00603429" w:rsidRDefault="00603429" w:rsidP="00603429">
      <w:pPr>
        <w:jc w:val="right"/>
        <w:rPr>
          <w:rFonts w:ascii="Segoe UI" w:hAnsi="Segoe UI" w:cs="Segoe UI"/>
          <w:color w:val="767171" w:themeColor="background2" w:themeShade="80"/>
          <w:sz w:val="20"/>
          <w:szCs w:val="20"/>
        </w:rPr>
      </w:pPr>
      <w:bookmarkStart w:id="0" w:name="_GoBack"/>
      <w:bookmarkEnd w:id="0"/>
      <w:r w:rsidRPr="00603429">
        <w:rPr>
          <w:rFonts w:ascii="Segoe UI" w:hAnsi="Segoe UI" w:cs="Segoe UI"/>
          <w:color w:val="767171" w:themeColor="background2" w:themeShade="80"/>
          <w:sz w:val="20"/>
          <w:szCs w:val="20"/>
        </w:rPr>
        <w:t xml:space="preserve">Příloha </w:t>
      </w:r>
      <w:r w:rsidR="00297DEF" w:rsidRPr="00603429">
        <w:rPr>
          <w:rFonts w:ascii="Segoe UI" w:hAnsi="Segoe UI" w:cs="Segoe UI"/>
          <w:color w:val="767171" w:themeColor="background2" w:themeShade="80"/>
          <w:sz w:val="20"/>
          <w:szCs w:val="20"/>
        </w:rPr>
        <w:t>č. 3</w:t>
      </w:r>
    </w:p>
    <w:p w:rsidR="00603429" w:rsidRPr="00603429" w:rsidRDefault="00603429" w:rsidP="00603429">
      <w:pPr>
        <w:jc w:val="right"/>
        <w:rPr>
          <w:rFonts w:ascii="Segoe UI" w:hAnsi="Segoe UI" w:cs="Segoe UI"/>
          <w:color w:val="767171" w:themeColor="background2" w:themeShade="80"/>
          <w:szCs w:val="28"/>
        </w:rPr>
      </w:pPr>
      <w:r w:rsidRPr="00603429">
        <w:rPr>
          <w:rFonts w:ascii="Segoe UI" w:hAnsi="Segoe UI" w:cs="Segoe UI"/>
          <w:color w:val="767171" w:themeColor="background2" w:themeShade="80"/>
          <w:szCs w:val="28"/>
        </w:rPr>
        <w:t>Metoda Design &amp; Build (&amp; Operate)</w:t>
      </w:r>
    </w:p>
    <w:p w:rsidR="00603429" w:rsidRDefault="00603429" w:rsidP="00603429">
      <w:pPr>
        <w:jc w:val="both"/>
        <w:rPr>
          <w:rFonts w:ascii="Segoe UI" w:hAnsi="Segoe UI" w:cs="Segoe UI"/>
          <w:color w:val="3B33A1" w:themeColor="text1" w:themeTint="A6"/>
          <w:sz w:val="18"/>
          <w:szCs w:val="18"/>
        </w:rPr>
      </w:pPr>
    </w:p>
    <w:p w:rsidR="00603429" w:rsidRPr="00603429" w:rsidRDefault="00603429" w:rsidP="0060342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Metoda Design &amp; Build &amp; Operate (dále jen „DB“) je metodou dodávky stavebních projektů, která je charakteristická tím, že odpovědnost za zpracování projektové dokumentace projektu a tím i za celkovou kvalitu provedení je přenesena zcela, nebo částečně, na zhotovitele stavby. Objednatel (zadavatel) obvykle specifikuje ve svém zadání pouze účel, standardy, rozsah a výkonová kritéria plnění.  </w:t>
      </w:r>
    </w:p>
    <w:p w:rsidR="00603429" w:rsidRPr="00603429" w:rsidRDefault="00603429" w:rsidP="0060342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603429" w:rsidRPr="00603429" w:rsidRDefault="00603429" w:rsidP="0060342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Cena je obvykle stanovena paušální cenou bez vymezení soupisu stavebních prací, dodávek a služeb s výkazem výměr. Platby se provádí podle harmonogramu plateb. Zadavatel tak může lépe předvídat celkovou cenu a dobu dokončení. Naopak, zhotovitel na sebe bere vyšší riziko, které je zohledněno v jeho cenové nabídce</w:t>
      </w:r>
      <w:r w:rsidR="00507C04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,</w:t>
      </w: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 či jeho nabízeném technickém řešení.</w:t>
      </w:r>
    </w:p>
    <w:p w:rsidR="00603429" w:rsidRPr="00603429" w:rsidRDefault="00603429" w:rsidP="00603429">
      <w:pPr>
        <w:jc w:val="both"/>
        <w:rPr>
          <w:rFonts w:ascii="Segoe UI" w:hAnsi="Segoe UI" w:cs="Segoe UI"/>
          <w:color w:val="767171" w:themeColor="background2" w:themeShade="80"/>
          <w:sz w:val="18"/>
          <w:szCs w:val="18"/>
        </w:rPr>
      </w:pPr>
    </w:p>
    <w:p w:rsidR="00603429" w:rsidRPr="00603429" w:rsidRDefault="00603429" w:rsidP="00603429">
      <w:pPr>
        <w:jc w:val="both"/>
        <w:rPr>
          <w:rFonts w:ascii="Segoe UI" w:hAnsi="Segoe UI" w:cs="Segoe UI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color w:val="767171" w:themeColor="background2" w:themeShade="80"/>
          <w:sz w:val="20"/>
          <w:szCs w:val="20"/>
        </w:rPr>
        <w:t xml:space="preserve">U projektů DB: </w:t>
      </w:r>
    </w:p>
    <w:p w:rsidR="00603429" w:rsidRPr="00603429" w:rsidRDefault="00603429" w:rsidP="00603429">
      <w:pPr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</w:p>
    <w:p w:rsidR="00603429" w:rsidRPr="00603429" w:rsidRDefault="00603429" w:rsidP="00603429">
      <w:pPr>
        <w:pStyle w:val="Odstavecseseznamem"/>
        <w:numPr>
          <w:ilvl w:val="0"/>
          <w:numId w:val="24"/>
        </w:numPr>
        <w:spacing w:after="160" w:line="259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je odpovědnost za projektovou dokumentaci a provedení díla p</w:t>
      </w:r>
      <w:r w:rsidR="00507C04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řenesena částečně nebo zcela na </w:t>
      </w: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zhotovitele; </w:t>
      </w:r>
    </w:p>
    <w:p w:rsidR="00603429" w:rsidRPr="00603429" w:rsidRDefault="00603429" w:rsidP="00603429">
      <w:pPr>
        <w:pStyle w:val="Odstavecseseznamem"/>
        <w:numPr>
          <w:ilvl w:val="0"/>
          <w:numId w:val="24"/>
        </w:numPr>
        <w:spacing w:after="160" w:line="259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zkušenost zadavatele se samotnou realizací projektů DB nemusí být velká (je však nezbytné zajistit i ve spolupráci s externími poradci přípravu kvalitního zadání projektů DB); </w:t>
      </w:r>
    </w:p>
    <w:p w:rsidR="00603429" w:rsidRPr="00603429" w:rsidRDefault="00603429" w:rsidP="00603429">
      <w:pPr>
        <w:pStyle w:val="Odstavecseseznamem"/>
        <w:numPr>
          <w:ilvl w:val="0"/>
          <w:numId w:val="24"/>
        </w:numPr>
        <w:spacing w:after="160" w:line="259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je vyšší jistota dodržení nabídkové ceny, která nebude ovlivněna změnami v projektové dokumentaci provedené zhotovitelem při realizaci díla; </w:t>
      </w:r>
    </w:p>
    <w:p w:rsidR="00603429" w:rsidRPr="00603429" w:rsidRDefault="00603429" w:rsidP="00603429">
      <w:pPr>
        <w:pStyle w:val="Odstavecseseznamem"/>
        <w:numPr>
          <w:ilvl w:val="0"/>
          <w:numId w:val="24"/>
        </w:numPr>
        <w:spacing w:after="160" w:line="259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je nižší riziko diskriminačního zadání díla (požadavkem na konkrétní výrobky, řešení apod.); </w:t>
      </w:r>
    </w:p>
    <w:p w:rsidR="00603429" w:rsidRPr="00603429" w:rsidRDefault="00603429" w:rsidP="00603429">
      <w:pPr>
        <w:pStyle w:val="Odstavecseseznamem"/>
        <w:numPr>
          <w:ilvl w:val="0"/>
          <w:numId w:val="24"/>
        </w:numPr>
        <w:spacing w:after="160" w:line="259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je možné rychlejší zahájení realizace s možností překrývání fáze projektování a realizace, tedy i rychlejší zprovoznění;</w:t>
      </w:r>
    </w:p>
    <w:p w:rsidR="00603429" w:rsidRPr="00603429" w:rsidRDefault="00603429" w:rsidP="00603429">
      <w:pPr>
        <w:pStyle w:val="Odstavecseseznamem"/>
        <w:numPr>
          <w:ilvl w:val="0"/>
          <w:numId w:val="24"/>
        </w:numPr>
        <w:spacing w:after="160" w:line="259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>je dán větší prostor pro využití inovativního potenciálu zhotovitele;</w:t>
      </w:r>
    </w:p>
    <w:p w:rsidR="00603429" w:rsidRPr="00603429" w:rsidRDefault="00603429" w:rsidP="00603429">
      <w:pPr>
        <w:pStyle w:val="Odstavecseseznamem"/>
        <w:numPr>
          <w:ilvl w:val="0"/>
          <w:numId w:val="24"/>
        </w:numPr>
        <w:spacing w:after="160" w:line="259" w:lineRule="auto"/>
        <w:jc w:val="both"/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20"/>
          <w:szCs w:val="20"/>
        </w:rPr>
        <w:t xml:space="preserve">je dán prostor pro důvodný přenos rizik a odpovědnosti za dosažení požadovaných výkonových parametrů při následném provozu na zhotovitele. </w:t>
      </w:r>
    </w:p>
    <w:p w:rsidR="00603429" w:rsidRPr="00603429" w:rsidRDefault="00603429" w:rsidP="00603429">
      <w:pPr>
        <w:ind w:firstLine="360"/>
        <w:rPr>
          <w:rFonts w:ascii="Segoe UI" w:hAnsi="Segoe UI" w:cs="Segoe UI"/>
          <w:color w:val="767171" w:themeColor="background2" w:themeShade="80"/>
          <w:sz w:val="18"/>
          <w:szCs w:val="18"/>
        </w:rPr>
      </w:pPr>
      <w:r w:rsidRPr="00603429">
        <w:rPr>
          <w:rFonts w:ascii="Segoe UI" w:hAnsi="Segoe UI" w:cs="Segoe UI"/>
          <w:color w:val="767171" w:themeColor="background2" w:themeShade="80"/>
          <w:sz w:val="18"/>
          <w:szCs w:val="18"/>
        </w:rPr>
        <w:t xml:space="preserve">  Srovnání vybraných aspektů „klasických“ výstavbových projektů a projektů DB</w:t>
      </w:r>
    </w:p>
    <w:p w:rsidR="00603429" w:rsidRPr="00C03450" w:rsidRDefault="00603429" w:rsidP="00603429">
      <w:pPr>
        <w:rPr>
          <w:rFonts w:ascii="Segoe UI" w:hAnsi="Segoe UI" w:cs="Segoe UI"/>
          <w:b w:val="0"/>
          <w:color w:val="3B33A1" w:themeColor="text1" w:themeTint="A6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F4514" w:rsidTr="004F4514">
        <w:trPr>
          <w:jc w:val="center"/>
        </w:trPr>
        <w:tc>
          <w:tcPr>
            <w:tcW w:w="3020" w:type="dxa"/>
            <w:shd w:val="clear" w:color="auto" w:fill="3592CF" w:themeFill="accent2"/>
            <w:vAlign w:val="center"/>
          </w:tcPr>
          <w:p w:rsidR="00603429" w:rsidRPr="007B2A6C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color w:val="FFFFFF" w:themeColor="background1"/>
                <w:sz w:val="18"/>
                <w:szCs w:val="18"/>
              </w:rPr>
            </w:pPr>
            <w:r w:rsidRPr="007B2A6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Forma stanovení technických podmínek stavebních projektů</w:t>
            </w:r>
          </w:p>
        </w:tc>
        <w:tc>
          <w:tcPr>
            <w:tcW w:w="3021" w:type="dxa"/>
            <w:shd w:val="clear" w:color="auto" w:fill="3592CF" w:themeFill="accent2"/>
            <w:vAlign w:val="center"/>
          </w:tcPr>
          <w:p w:rsidR="00603429" w:rsidRPr="007B2A6C" w:rsidRDefault="00603429" w:rsidP="00453959">
            <w:pPr>
              <w:jc w:val="center"/>
              <w:rPr>
                <w:rFonts w:ascii="Segoe UI" w:hAnsi="Segoe UI" w:cs="Segoe UI"/>
                <w:b w:val="0"/>
                <w:color w:val="FFFFFF" w:themeColor="background1"/>
                <w:sz w:val="18"/>
                <w:szCs w:val="18"/>
              </w:rPr>
            </w:pPr>
            <w:r w:rsidRPr="007B2A6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Zadání stanoveno dokumentací pro zadání stavebních prací se soupisem stavebních prací, dodávek a služeb s výka</w:t>
            </w:r>
            <w:r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zem výměr („klasický“</w:t>
            </w:r>
            <w:r w:rsidRPr="007B2A6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 xml:space="preserve">stavební </w:t>
            </w:r>
            <w:r w:rsidRPr="007B2A6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projekt)</w:t>
            </w:r>
            <w:r w:rsidRPr="007B2A6C">
              <w:rPr>
                <w:rFonts w:ascii="Segoe UI" w:hAnsi="Segoe UI" w:cs="Segoe UI"/>
                <w:color w:val="FFFFFF" w:themeColor="background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021" w:type="dxa"/>
            <w:shd w:val="clear" w:color="auto" w:fill="3592CF" w:themeFill="accent2"/>
            <w:vAlign w:val="center"/>
          </w:tcPr>
          <w:p w:rsidR="00603429" w:rsidRPr="007B2A6C" w:rsidRDefault="00603429" w:rsidP="00453959">
            <w:pPr>
              <w:jc w:val="center"/>
              <w:rPr>
                <w:rFonts w:ascii="Segoe UI" w:hAnsi="Segoe UI" w:cs="Segoe UI"/>
                <w:b w:val="0"/>
                <w:color w:val="FFFFFF" w:themeColor="background1"/>
                <w:sz w:val="18"/>
                <w:szCs w:val="18"/>
              </w:rPr>
            </w:pPr>
            <w:r w:rsidRPr="007B2A6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Zadání stanoveno formou požadavků na výkon a funkci (projekt DB)</w:t>
            </w:r>
            <w:r>
              <w:rPr>
                <w:rFonts w:ascii="Segoe UI" w:hAnsi="Segoe UI" w:cs="Segoe UI"/>
                <w:color w:val="FFFFFF" w:themeColor="background1"/>
                <w:sz w:val="18"/>
                <w:szCs w:val="18"/>
                <w:vertAlign w:val="superscript"/>
              </w:rPr>
              <w:t>2</w:t>
            </w:r>
          </w:p>
        </w:tc>
      </w:tr>
      <w:tr w:rsidR="00603429" w:rsidRPr="00603429" w:rsidTr="00603429">
        <w:trPr>
          <w:trHeight w:val="771"/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>Odpovědnost za správnost věcných požadavků na výkon a funkci (výkonové parametry)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 xml:space="preserve">Ne 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>(Nejsou stanoveny)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 xml:space="preserve">Ano 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  <w:t>(Odp</w:t>
            </w:r>
            <w:r w:rsidR="00507C04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  <w:t>ovědnost obvykle nese zadavatel</w:t>
            </w: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  <w:t>)</w:t>
            </w:r>
          </w:p>
        </w:tc>
      </w:tr>
      <w:tr w:rsidR="00603429" w:rsidRPr="00603429" w:rsidTr="00603429">
        <w:trPr>
          <w:trHeight w:val="697"/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>Odpovědnost za projektovou dokumentaci a/nebo její část z pohledu zhotovitele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507C04" w:rsidRDefault="00507C04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</w:p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>Ne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507C04" w:rsidRDefault="00507C04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</w:p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>Ano</w:t>
            </w:r>
          </w:p>
        </w:tc>
      </w:tr>
      <w:tr w:rsidR="00603429" w:rsidRPr="00603429" w:rsidTr="00603429">
        <w:trPr>
          <w:trHeight w:val="843"/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>Rizika navýšení ceny při realizaci proje</w:t>
            </w:r>
            <w:r w:rsidR="00507C04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>k</w:t>
            </w: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 xml:space="preserve">tu 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 xml:space="preserve">Vyšší 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  <w:t>(Riziko námitek vad (chyb) projektové dokumentace ze strany zhotovitele)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4F4514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>Nižší</w:t>
            </w:r>
            <w:r w:rsidR="00603429"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 xml:space="preserve"> 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  <w:t>(Zhotovitel nemůže namítat vady (chyby) projektové dokumentace)</w:t>
            </w:r>
          </w:p>
        </w:tc>
      </w:tr>
      <w:tr w:rsidR="00603429" w:rsidRPr="00603429" w:rsidTr="00603429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>Rizika spojená</w:t>
            </w:r>
            <w:r w:rsidR="00507C04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 xml:space="preserve"> s nedodržením stanoveného termí</w:t>
            </w: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>nu realizace projektu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507C04" w:rsidRDefault="00507C04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</w:p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>Vyšší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 xml:space="preserve">Ano 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6"/>
                <w:szCs w:val="16"/>
              </w:rPr>
              <w:t>(Inovační potenciál závisí na tom, v jaké fázi projektové přípravy zadavatel převezme projekt)</w:t>
            </w:r>
          </w:p>
        </w:tc>
      </w:tr>
      <w:tr w:rsidR="00603429" w:rsidRPr="00603429" w:rsidTr="00603429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>Prostor zhotovitele pro dosažení inovativního řešení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>Ne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>(Zhotovitel má povinnost realizovat projekt dle projektové dokumentace s výkazem výměr)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 xml:space="preserve">Ano 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>(Inov</w:t>
            </w:r>
            <w:r w:rsidR="00507C04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>ační potenciál závisí na tom, v </w:t>
            </w: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>jaké fázi projektové přípravy zadavatel převezme projekt)</w:t>
            </w:r>
          </w:p>
        </w:tc>
      </w:tr>
      <w:tr w:rsidR="00603429" w:rsidRPr="00603429" w:rsidTr="00603429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color w:val="767171" w:themeColor="background2" w:themeShade="80"/>
                <w:sz w:val="18"/>
                <w:szCs w:val="18"/>
              </w:rPr>
              <w:tab/>
              <w:t>Odpovědnost za dosažení požadovaných výkonových parametrů při provozu a možnost pro důvodné přenesení rizik na zhotovitele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 xml:space="preserve">Ne </w:t>
            </w:r>
          </w:p>
          <w:p w:rsidR="00603429" w:rsidRPr="00603429" w:rsidRDefault="00603429" w:rsidP="00E8750F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 xml:space="preserve">(Lze obtížně přenést riziko </w:t>
            </w:r>
            <w:r w:rsidR="00E8750F"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 xml:space="preserve">zcela </w:t>
            </w: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>na zhotovitele, pokud zhotovitel nemůže nijak ovlivnit zvolené technické řešení)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03429" w:rsidRPr="004F4514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</w:pPr>
            <w:r w:rsidRPr="004F4514">
              <w:rPr>
                <w:rFonts w:ascii="Segoe UI" w:hAnsi="Segoe UI" w:cs="Segoe UI"/>
                <w:i/>
                <w:color w:val="767171" w:themeColor="background2" w:themeShade="80"/>
                <w:sz w:val="18"/>
                <w:szCs w:val="18"/>
              </w:rPr>
              <w:t>Ano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</w:pPr>
            <w:r w:rsidRPr="00603429"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  <w:t>(Závisí na zvoleném provozním modelu)</w:t>
            </w:r>
          </w:p>
          <w:p w:rsidR="00603429" w:rsidRPr="00603429" w:rsidRDefault="00603429" w:rsidP="00453959">
            <w:pPr>
              <w:tabs>
                <w:tab w:val="left" w:pos="363"/>
              </w:tabs>
              <w:jc w:val="center"/>
              <w:rPr>
                <w:rFonts w:ascii="Segoe UI" w:hAnsi="Segoe UI" w:cs="Segoe UI"/>
                <w:b w:val="0"/>
                <w:i/>
                <w:color w:val="767171" w:themeColor="background2" w:themeShade="80"/>
                <w:sz w:val="18"/>
                <w:szCs w:val="18"/>
              </w:rPr>
            </w:pPr>
          </w:p>
        </w:tc>
      </w:tr>
    </w:tbl>
    <w:p w:rsidR="00603429" w:rsidRPr="00603429" w:rsidRDefault="00603429" w:rsidP="00603429">
      <w:pPr>
        <w:pStyle w:val="Odstavecseseznamem"/>
        <w:numPr>
          <w:ilvl w:val="0"/>
          <w:numId w:val="25"/>
        </w:numPr>
        <w:spacing w:after="160" w:line="259" w:lineRule="auto"/>
        <w:rPr>
          <w:rFonts w:ascii="Segoe UI" w:hAnsi="Segoe UI" w:cs="Segoe UI"/>
          <w:b w:val="0"/>
          <w:color w:val="767171" w:themeColor="background2" w:themeShade="80"/>
          <w:sz w:val="16"/>
          <w:szCs w:val="16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16"/>
          <w:szCs w:val="16"/>
        </w:rPr>
        <w:t>Viz § 92 odst. 1 zákona č. 134/2016 Sb., zákon o zadávání veřejných zakázek, ve znění pozdějších předpisů (dále jen „ZZVZ“)</w:t>
      </w:r>
    </w:p>
    <w:p w:rsidR="00603429" w:rsidRPr="00603429" w:rsidRDefault="00603429" w:rsidP="00603429">
      <w:pPr>
        <w:pStyle w:val="Odstavecseseznamem"/>
        <w:numPr>
          <w:ilvl w:val="0"/>
          <w:numId w:val="25"/>
        </w:numPr>
        <w:spacing w:after="160" w:line="259" w:lineRule="auto"/>
        <w:rPr>
          <w:rFonts w:ascii="Segoe UI" w:hAnsi="Segoe UI" w:cs="Segoe UI"/>
          <w:b w:val="0"/>
          <w:color w:val="767171" w:themeColor="background2" w:themeShade="80"/>
          <w:sz w:val="16"/>
          <w:szCs w:val="16"/>
        </w:rPr>
      </w:pPr>
      <w:r w:rsidRPr="00603429">
        <w:rPr>
          <w:rFonts w:ascii="Segoe UI" w:hAnsi="Segoe UI" w:cs="Segoe UI"/>
          <w:b w:val="0"/>
          <w:color w:val="767171" w:themeColor="background2" w:themeShade="80"/>
          <w:sz w:val="16"/>
          <w:szCs w:val="16"/>
        </w:rPr>
        <w:t>Viz § 92 odst. 2 zákona č. 134/2016 Sb., zákon o zadávání veřejných zakázek, ve znění pozdějších předpisů (dále jen „ZZVZ“)</w:t>
      </w:r>
    </w:p>
    <w:p w:rsidR="00603429" w:rsidRPr="00C03450" w:rsidRDefault="00603429" w:rsidP="00603429">
      <w:pPr>
        <w:pStyle w:val="Odstavecseseznamem"/>
        <w:rPr>
          <w:rFonts w:ascii="Segoe UI" w:hAnsi="Segoe UI" w:cs="Segoe UI"/>
          <w:color w:val="3B33A1" w:themeColor="text1" w:themeTint="A6"/>
          <w:sz w:val="16"/>
          <w:szCs w:val="16"/>
        </w:rPr>
      </w:pPr>
    </w:p>
    <w:p w:rsidR="00603429" w:rsidRPr="005130CA" w:rsidRDefault="00603429">
      <w:pPr>
        <w:spacing w:after="200"/>
        <w:rPr>
          <w:rFonts w:ascii="Segoe UI" w:hAnsi="Segoe UI" w:cs="Segoe UI"/>
          <w:noProof/>
          <w:color w:val="767171" w:themeColor="background2" w:themeShade="80"/>
          <w:lang w:bidi="cs-CZ"/>
        </w:rPr>
      </w:pPr>
    </w:p>
    <w:sectPr w:rsidR="00603429" w:rsidRPr="005130CA" w:rsidSect="004B725A">
      <w:headerReference w:type="default" r:id="rId13"/>
      <w:footerReference w:type="default" r:id="rId14"/>
      <w:pgSz w:w="11906" w:h="16838" w:code="9"/>
      <w:pgMar w:top="720" w:right="936" w:bottom="720" w:left="936" w:header="0" w:footer="289" w:gutter="0"/>
      <w:pgNumType w:start="1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86B" w:rsidRDefault="0033186B">
      <w:r>
        <w:separator/>
      </w:r>
    </w:p>
    <w:p w:rsidR="0033186B" w:rsidRDefault="0033186B"/>
  </w:endnote>
  <w:endnote w:type="continuationSeparator" w:id="0">
    <w:p w:rsidR="0033186B" w:rsidRDefault="0033186B">
      <w:r>
        <w:continuationSeparator/>
      </w:r>
    </w:p>
    <w:p w:rsidR="0033186B" w:rsidRDefault="00331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9943194"/>
      <w:docPartObj>
        <w:docPartGallery w:val="Page Numbers (Bottom of Page)"/>
        <w:docPartUnique/>
      </w:docPartObj>
    </w:sdtPr>
    <w:sdtEndPr/>
    <w:sdtContent>
      <w:p w:rsidR="00DC0E08" w:rsidRDefault="00DC0E08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44" name="Obdélník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0E08" w:rsidRPr="00496660" w:rsidRDefault="00DC0E08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Segoe UI" w:hAnsi="Segoe UI" w:cs="Segoe UI"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 w:rsidRPr="00496660">
                                <w:rPr>
                                  <w:rFonts w:ascii="Segoe UI" w:hAnsi="Segoe UI" w:cs="Segoe UI"/>
                                  <w:color w:val="0070C0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496660">
                                <w:rPr>
                                  <w:rFonts w:ascii="Segoe UI" w:hAnsi="Segoe UI" w:cs="Segoe UI"/>
                                  <w:color w:val="0070C0"/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496660">
                                <w:rPr>
                                  <w:rFonts w:ascii="Segoe UI" w:hAnsi="Segoe UI" w:cs="Segoe UI"/>
                                  <w:color w:val="0070C0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33186B">
                                <w:rPr>
                                  <w:rFonts w:ascii="Segoe UI" w:hAnsi="Segoe UI" w:cs="Segoe UI"/>
                                  <w:noProof/>
                                  <w:color w:val="0070C0"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496660">
                                <w:rPr>
                                  <w:rFonts w:ascii="Segoe UI" w:hAnsi="Segoe UI" w:cs="Segoe UI"/>
                                  <w:color w:val="0070C0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Obdélník 44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" filled="f" fillcolor="#c0504d" stroked="f" strokecolor="#5c83b4" strokeweight="2.25pt">
                  <v:textbox inset=",0,,0">
                    <w:txbxContent>
                      <w:p w:rsidR="00DC0E08" w:rsidRPr="00496660" w:rsidRDefault="00DC0E08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Segoe UI" w:hAnsi="Segoe UI" w:cs="Segoe UI"/>
                            <w:color w:val="0070C0"/>
                            <w:sz w:val="20"/>
                            <w:szCs w:val="20"/>
                          </w:rPr>
                        </w:pPr>
                        <w:r w:rsidRPr="00496660">
                          <w:rPr>
                            <w:rFonts w:ascii="Segoe UI" w:hAnsi="Segoe UI" w:cs="Segoe UI"/>
                            <w:color w:val="0070C0"/>
                            <w:sz w:val="20"/>
                            <w:szCs w:val="20"/>
                          </w:rPr>
                          <w:fldChar w:fldCharType="begin"/>
                        </w:r>
                        <w:r w:rsidRPr="00496660">
                          <w:rPr>
                            <w:rFonts w:ascii="Segoe UI" w:hAnsi="Segoe UI" w:cs="Segoe UI"/>
                            <w:color w:val="0070C0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496660">
                          <w:rPr>
                            <w:rFonts w:ascii="Segoe UI" w:hAnsi="Segoe UI" w:cs="Segoe UI"/>
                            <w:color w:val="0070C0"/>
                            <w:sz w:val="20"/>
                            <w:szCs w:val="20"/>
                          </w:rPr>
                          <w:fldChar w:fldCharType="separate"/>
                        </w:r>
                        <w:r w:rsidR="0033186B">
                          <w:rPr>
                            <w:rFonts w:ascii="Segoe UI" w:hAnsi="Segoe UI" w:cs="Segoe UI"/>
                            <w:noProof/>
                            <w:color w:val="0070C0"/>
                            <w:sz w:val="20"/>
                            <w:szCs w:val="20"/>
                          </w:rPr>
                          <w:t>1</w:t>
                        </w:r>
                        <w:r w:rsidRPr="00496660">
                          <w:rPr>
                            <w:rFonts w:ascii="Segoe UI" w:hAnsi="Segoe UI" w:cs="Segoe UI"/>
                            <w:color w:val="0070C0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86B" w:rsidRDefault="0033186B">
      <w:r>
        <w:separator/>
      </w:r>
    </w:p>
    <w:p w:rsidR="0033186B" w:rsidRDefault="0033186B"/>
  </w:footnote>
  <w:footnote w:type="continuationSeparator" w:id="0">
    <w:p w:rsidR="0033186B" w:rsidRDefault="0033186B">
      <w:r>
        <w:continuationSeparator/>
      </w:r>
    </w:p>
    <w:p w:rsidR="0033186B" w:rsidRDefault="00331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7AD" w:rsidRDefault="000267AD" w:rsidP="00B4480E">
    <w:pPr>
      <w:pStyle w:val="Zhlav"/>
      <w:tabs>
        <w:tab w:val="left" w:pos="2028"/>
        <w:tab w:val="left" w:pos="2730"/>
      </w:tabs>
      <w:rPr>
        <w:noProof/>
      </w:rPr>
    </w:pPr>
    <w:r>
      <w:rPr>
        <w:noProof/>
      </w:rPr>
      <w:tab/>
    </w:r>
    <w:r w:rsidR="00B4480E">
      <w:rPr>
        <w:noProof/>
      </w:rPr>
      <w:tab/>
    </w:r>
  </w:p>
  <w:p w:rsidR="00D077E9" w:rsidRDefault="004367B5" w:rsidP="004367B5">
    <w:pPr>
      <w:pStyle w:val="Zhlav"/>
      <w:tabs>
        <w:tab w:val="left" w:pos="1215"/>
      </w:tabs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0288" behindDoc="1" locked="1" layoutInCell="0" allowOverlap="0">
          <wp:simplePos x="0" y="0"/>
          <wp:positionH relativeFrom="page">
            <wp:posOffset>900430</wp:posOffset>
          </wp:positionH>
          <wp:positionV relativeFrom="page">
            <wp:posOffset>360045</wp:posOffset>
          </wp:positionV>
          <wp:extent cx="2354580" cy="647700"/>
          <wp:effectExtent l="0" t="0" r="7620" b="0"/>
          <wp:wrapNone/>
          <wp:docPr id="47" name="Obrázek 47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FZP_H_RGB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</w:p>
  <w:p w:rsidR="004367B5" w:rsidRDefault="004367B5" w:rsidP="004367B5">
    <w:pPr>
      <w:pStyle w:val="Zhlav"/>
      <w:tabs>
        <w:tab w:val="left" w:pos="1215"/>
      </w:tabs>
      <w:rPr>
        <w:noProof/>
      </w:rPr>
    </w:pPr>
  </w:p>
  <w:p w:rsidR="004367B5" w:rsidRDefault="004367B5" w:rsidP="004367B5">
    <w:pPr>
      <w:pStyle w:val="Zhlav"/>
      <w:tabs>
        <w:tab w:val="left" w:pos="1215"/>
      </w:tabs>
      <w:rPr>
        <w:noProof/>
      </w:rPr>
    </w:pPr>
  </w:p>
  <w:p w:rsidR="004367B5" w:rsidRDefault="004367B5" w:rsidP="004367B5">
    <w:pPr>
      <w:pStyle w:val="Zhlav"/>
      <w:tabs>
        <w:tab w:val="left" w:pos="1215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35E4D"/>
    <w:multiLevelType w:val="hybridMultilevel"/>
    <w:tmpl w:val="1A4C4144"/>
    <w:lvl w:ilvl="0" w:tplc="34785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693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A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E0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EAEF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62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FC5F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9ADE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C2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B7FD0"/>
    <w:multiLevelType w:val="hybridMultilevel"/>
    <w:tmpl w:val="5E44C7CC"/>
    <w:lvl w:ilvl="0" w:tplc="694AC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8A57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FA4F7D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7F850B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C803A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D94753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4684F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AEAFFC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9C87F8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B97F9E"/>
    <w:multiLevelType w:val="hybridMultilevel"/>
    <w:tmpl w:val="FEBAEBD0"/>
    <w:lvl w:ilvl="0" w:tplc="7A523F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62E04"/>
    <w:multiLevelType w:val="hybridMultilevel"/>
    <w:tmpl w:val="8C9CB794"/>
    <w:lvl w:ilvl="0" w:tplc="28BC06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F7305"/>
    <w:multiLevelType w:val="hybridMultilevel"/>
    <w:tmpl w:val="284EC3B4"/>
    <w:lvl w:ilvl="0" w:tplc="606C8C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36C5E6">
      <w:start w:val="1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43B015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9E1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E32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54C4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67B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1D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2A8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954CB"/>
    <w:multiLevelType w:val="hybridMultilevel"/>
    <w:tmpl w:val="89A4CD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70EF"/>
    <w:multiLevelType w:val="hybridMultilevel"/>
    <w:tmpl w:val="87148F0A"/>
    <w:lvl w:ilvl="0" w:tplc="18DC2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7279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36E2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D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4E2E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840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8B4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96B5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CE37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5025F"/>
    <w:multiLevelType w:val="hybridMultilevel"/>
    <w:tmpl w:val="4C6C4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00F02"/>
    <w:multiLevelType w:val="hybridMultilevel"/>
    <w:tmpl w:val="C8EA637A"/>
    <w:lvl w:ilvl="0" w:tplc="A3BAC904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1DE9A00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CE2E2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DF247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6ACEF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CA97C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E1248F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EE81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AEE6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3E7971"/>
    <w:multiLevelType w:val="hybridMultilevel"/>
    <w:tmpl w:val="8D5A2168"/>
    <w:lvl w:ilvl="0" w:tplc="0B9A6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C676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90A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073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856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E83F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A0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A03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58C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D533E"/>
    <w:multiLevelType w:val="hybridMultilevel"/>
    <w:tmpl w:val="417ECC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36C5E6">
      <w:start w:val="1"/>
      <w:numFmt w:val="bullet"/>
      <w:lvlText w:val="-"/>
      <w:lvlJc w:val="left"/>
      <w:pPr>
        <w:ind w:left="1080" w:hanging="360"/>
      </w:pPr>
      <w:rPr>
        <w:rFonts w:ascii="Segoe UI" w:eastAsiaTheme="minorHAnsi" w:hAnsi="Segoe UI" w:cs="Segoe U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FB3DBC"/>
    <w:multiLevelType w:val="hybridMultilevel"/>
    <w:tmpl w:val="3FA04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3000E"/>
    <w:multiLevelType w:val="hybridMultilevel"/>
    <w:tmpl w:val="A4B06912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4C435A23"/>
    <w:multiLevelType w:val="multilevel"/>
    <w:tmpl w:val="BAAA8D0C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737" w:hanging="737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737" w:hanging="737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0D710B0"/>
    <w:multiLevelType w:val="hybridMultilevel"/>
    <w:tmpl w:val="AB9876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87005"/>
    <w:multiLevelType w:val="multilevel"/>
    <w:tmpl w:val="60FE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B41E8B"/>
    <w:multiLevelType w:val="hybridMultilevel"/>
    <w:tmpl w:val="CFC8E60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06BED"/>
    <w:multiLevelType w:val="hybridMultilevel"/>
    <w:tmpl w:val="8DF8C5E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3FA37DD"/>
    <w:multiLevelType w:val="hybridMultilevel"/>
    <w:tmpl w:val="92DEFCCC"/>
    <w:lvl w:ilvl="0" w:tplc="CC00D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5A0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6A4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C3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9C33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98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6EA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68C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FAD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7200AD"/>
    <w:multiLevelType w:val="hybridMultilevel"/>
    <w:tmpl w:val="D74E5778"/>
    <w:lvl w:ilvl="0" w:tplc="DF36C5E6">
      <w:start w:val="1"/>
      <w:numFmt w:val="bullet"/>
      <w:lvlText w:val="-"/>
      <w:lvlJc w:val="left"/>
      <w:pPr>
        <w:ind w:left="1428" w:hanging="360"/>
      </w:pPr>
      <w:rPr>
        <w:rFonts w:ascii="Segoe UI" w:eastAsiaTheme="minorHAnsi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78D6AEC"/>
    <w:multiLevelType w:val="hybridMultilevel"/>
    <w:tmpl w:val="3A86B4F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542F77"/>
    <w:multiLevelType w:val="hybridMultilevel"/>
    <w:tmpl w:val="624C5B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628FC"/>
    <w:multiLevelType w:val="hybridMultilevel"/>
    <w:tmpl w:val="F5123BA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18"/>
  </w:num>
  <w:num w:numId="8">
    <w:abstractNumId w:val="8"/>
  </w:num>
  <w:num w:numId="9">
    <w:abstractNumId w:val="8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4"/>
  </w:num>
  <w:num w:numId="15">
    <w:abstractNumId w:val="8"/>
  </w:num>
  <w:num w:numId="16">
    <w:abstractNumId w:va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7"/>
  </w:num>
  <w:num w:numId="22">
    <w:abstractNumId w:val="14"/>
  </w:num>
  <w:num w:numId="23">
    <w:abstractNumId w:val="20"/>
  </w:num>
  <w:num w:numId="24">
    <w:abstractNumId w:val="5"/>
  </w:num>
  <w:num w:numId="25">
    <w:abstractNumId w:val="2"/>
  </w:num>
  <w:num w:numId="26">
    <w:abstractNumId w:val="22"/>
  </w:num>
  <w:num w:numId="27">
    <w:abstractNumId w:val="15"/>
  </w:num>
  <w:num w:numId="28">
    <w:abstractNumId w:val="17"/>
  </w:num>
  <w:num w:numId="29">
    <w:abstractNumId w:val="3"/>
  </w:num>
  <w:num w:numId="30">
    <w:abstractNumId w:val="16"/>
  </w:num>
  <w:num w:numId="31">
    <w:abstractNumId w:val="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>
      <o:colormru v:ext="edit" colors="#f2f2f2,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38"/>
    <w:rsid w:val="0002482E"/>
    <w:rsid w:val="000267AD"/>
    <w:rsid w:val="0003455C"/>
    <w:rsid w:val="000409C8"/>
    <w:rsid w:val="00050324"/>
    <w:rsid w:val="00052F8C"/>
    <w:rsid w:val="00080E53"/>
    <w:rsid w:val="000A0150"/>
    <w:rsid w:val="000A2F0C"/>
    <w:rsid w:val="000B3A6F"/>
    <w:rsid w:val="000C3C59"/>
    <w:rsid w:val="000C76ED"/>
    <w:rsid w:val="000E63C9"/>
    <w:rsid w:val="00130E9D"/>
    <w:rsid w:val="00150A6D"/>
    <w:rsid w:val="001567C4"/>
    <w:rsid w:val="00185B35"/>
    <w:rsid w:val="00186112"/>
    <w:rsid w:val="001D6498"/>
    <w:rsid w:val="001F2BC8"/>
    <w:rsid w:val="001F59E1"/>
    <w:rsid w:val="001F5F6B"/>
    <w:rsid w:val="0020517F"/>
    <w:rsid w:val="00205A9E"/>
    <w:rsid w:val="00243EBC"/>
    <w:rsid w:val="00246A35"/>
    <w:rsid w:val="00246C69"/>
    <w:rsid w:val="00284348"/>
    <w:rsid w:val="00297DEF"/>
    <w:rsid w:val="002E7120"/>
    <w:rsid w:val="002F51F5"/>
    <w:rsid w:val="00312137"/>
    <w:rsid w:val="00316C11"/>
    <w:rsid w:val="00330359"/>
    <w:rsid w:val="0033186B"/>
    <w:rsid w:val="0033762F"/>
    <w:rsid w:val="00337D23"/>
    <w:rsid w:val="00342109"/>
    <w:rsid w:val="00360494"/>
    <w:rsid w:val="00366C7E"/>
    <w:rsid w:val="00384EA3"/>
    <w:rsid w:val="00387695"/>
    <w:rsid w:val="003972C5"/>
    <w:rsid w:val="003A39A1"/>
    <w:rsid w:val="003C2191"/>
    <w:rsid w:val="003D3863"/>
    <w:rsid w:val="004110DE"/>
    <w:rsid w:val="00433F38"/>
    <w:rsid w:val="004367B5"/>
    <w:rsid w:val="0044085A"/>
    <w:rsid w:val="004564FD"/>
    <w:rsid w:val="00496660"/>
    <w:rsid w:val="004A4376"/>
    <w:rsid w:val="004B21A5"/>
    <w:rsid w:val="004B725A"/>
    <w:rsid w:val="004E6955"/>
    <w:rsid w:val="004F4514"/>
    <w:rsid w:val="005037F0"/>
    <w:rsid w:val="00507C04"/>
    <w:rsid w:val="00510AE5"/>
    <w:rsid w:val="005130CA"/>
    <w:rsid w:val="00515061"/>
    <w:rsid w:val="00516A86"/>
    <w:rsid w:val="00521D64"/>
    <w:rsid w:val="005275F6"/>
    <w:rsid w:val="00557D86"/>
    <w:rsid w:val="005626EF"/>
    <w:rsid w:val="00572102"/>
    <w:rsid w:val="005759F8"/>
    <w:rsid w:val="005E083D"/>
    <w:rsid w:val="005F1BB0"/>
    <w:rsid w:val="00600F75"/>
    <w:rsid w:val="00603429"/>
    <w:rsid w:val="00656C4D"/>
    <w:rsid w:val="00697A26"/>
    <w:rsid w:val="006E5716"/>
    <w:rsid w:val="00717F66"/>
    <w:rsid w:val="007302B3"/>
    <w:rsid w:val="00730733"/>
    <w:rsid w:val="00730E3A"/>
    <w:rsid w:val="00736AAF"/>
    <w:rsid w:val="00765B2A"/>
    <w:rsid w:val="00780ACC"/>
    <w:rsid w:val="00783A34"/>
    <w:rsid w:val="007A5D12"/>
    <w:rsid w:val="007C6B52"/>
    <w:rsid w:val="007D16C5"/>
    <w:rsid w:val="007F4EB8"/>
    <w:rsid w:val="00850346"/>
    <w:rsid w:val="00862FE4"/>
    <w:rsid w:val="0086389A"/>
    <w:rsid w:val="0087605E"/>
    <w:rsid w:val="008B1FEE"/>
    <w:rsid w:val="00900448"/>
    <w:rsid w:val="00903C32"/>
    <w:rsid w:val="00916B16"/>
    <w:rsid w:val="009173B9"/>
    <w:rsid w:val="00932E0C"/>
    <w:rsid w:val="0093335D"/>
    <w:rsid w:val="0093613E"/>
    <w:rsid w:val="00943026"/>
    <w:rsid w:val="00965849"/>
    <w:rsid w:val="00966B81"/>
    <w:rsid w:val="009C7391"/>
    <w:rsid w:val="009C7720"/>
    <w:rsid w:val="009D44EB"/>
    <w:rsid w:val="009E471B"/>
    <w:rsid w:val="009E63DB"/>
    <w:rsid w:val="00A01CA1"/>
    <w:rsid w:val="00A0252C"/>
    <w:rsid w:val="00A2165A"/>
    <w:rsid w:val="00A23AFA"/>
    <w:rsid w:val="00A31B3E"/>
    <w:rsid w:val="00A40CD9"/>
    <w:rsid w:val="00A532F3"/>
    <w:rsid w:val="00A6766E"/>
    <w:rsid w:val="00A8489E"/>
    <w:rsid w:val="00AB02A7"/>
    <w:rsid w:val="00AB3435"/>
    <w:rsid w:val="00AC29F3"/>
    <w:rsid w:val="00B10A54"/>
    <w:rsid w:val="00B231E5"/>
    <w:rsid w:val="00B351C6"/>
    <w:rsid w:val="00B4210B"/>
    <w:rsid w:val="00B4480E"/>
    <w:rsid w:val="00B83484"/>
    <w:rsid w:val="00B84EF3"/>
    <w:rsid w:val="00BE7701"/>
    <w:rsid w:val="00C02B87"/>
    <w:rsid w:val="00C22C89"/>
    <w:rsid w:val="00C4086D"/>
    <w:rsid w:val="00C54B71"/>
    <w:rsid w:val="00C6736C"/>
    <w:rsid w:val="00C8625B"/>
    <w:rsid w:val="00CA1896"/>
    <w:rsid w:val="00CA3BD5"/>
    <w:rsid w:val="00CB5B28"/>
    <w:rsid w:val="00CD2C65"/>
    <w:rsid w:val="00CD40D6"/>
    <w:rsid w:val="00CF5371"/>
    <w:rsid w:val="00D0323A"/>
    <w:rsid w:val="00D0559F"/>
    <w:rsid w:val="00D077E9"/>
    <w:rsid w:val="00D178CF"/>
    <w:rsid w:val="00D276F7"/>
    <w:rsid w:val="00D300B4"/>
    <w:rsid w:val="00D30720"/>
    <w:rsid w:val="00D42CB7"/>
    <w:rsid w:val="00D5413D"/>
    <w:rsid w:val="00D570A9"/>
    <w:rsid w:val="00D70D02"/>
    <w:rsid w:val="00D770C7"/>
    <w:rsid w:val="00D83A52"/>
    <w:rsid w:val="00D86945"/>
    <w:rsid w:val="00D90290"/>
    <w:rsid w:val="00DC0E08"/>
    <w:rsid w:val="00DC0F48"/>
    <w:rsid w:val="00DD152F"/>
    <w:rsid w:val="00DE213F"/>
    <w:rsid w:val="00DF027C"/>
    <w:rsid w:val="00DF2D71"/>
    <w:rsid w:val="00E00A32"/>
    <w:rsid w:val="00E12896"/>
    <w:rsid w:val="00E22ACD"/>
    <w:rsid w:val="00E620B0"/>
    <w:rsid w:val="00E678E1"/>
    <w:rsid w:val="00E7776C"/>
    <w:rsid w:val="00E7788C"/>
    <w:rsid w:val="00E81B40"/>
    <w:rsid w:val="00E8750F"/>
    <w:rsid w:val="00EB2096"/>
    <w:rsid w:val="00EB6B90"/>
    <w:rsid w:val="00EF2EA3"/>
    <w:rsid w:val="00EF555B"/>
    <w:rsid w:val="00F027BB"/>
    <w:rsid w:val="00F02D73"/>
    <w:rsid w:val="00F11DCF"/>
    <w:rsid w:val="00F162EA"/>
    <w:rsid w:val="00F31508"/>
    <w:rsid w:val="00F42C7D"/>
    <w:rsid w:val="00F52D27"/>
    <w:rsid w:val="00F8276C"/>
    <w:rsid w:val="00F83527"/>
    <w:rsid w:val="00FA6E3C"/>
    <w:rsid w:val="00FC6429"/>
    <w:rsid w:val="00FD583F"/>
    <w:rsid w:val="00FD7488"/>
    <w:rsid w:val="00FF16B4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2f2f2,#f8f8f8"/>
    </o:shapedefaults>
    <o:shapelayout v:ext="edit">
      <o:idmap v:ext="edit" data="1"/>
    </o:shapelayout>
  </w:shapeDefaults>
  <w:decimalSymbol w:val=","/>
  <w:listSeparator w:val=";"/>
  <w14:docId w14:val="1B5E56C7"/>
  <w15:docId w15:val="{E2DB15CD-C4C4-44B2-90CA-2D5DF17A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uiPriority="4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Nadpis1">
    <w:name w:val="heading 1"/>
    <w:basedOn w:val="Normln"/>
    <w:link w:val="Nadpis1Char"/>
    <w:uiPriority w:val="4"/>
    <w:qFormat/>
    <w:rsid w:val="00D077E9"/>
    <w:pPr>
      <w:keepNext/>
      <w:spacing w:before="240" w:after="60"/>
      <w:outlineLvl w:val="0"/>
    </w:pPr>
    <w:rPr>
      <w:rFonts w:asciiTheme="majorHAnsi" w:eastAsiaTheme="majorEastAsia" w:hAnsiTheme="majorHAnsi" w:cstheme="majorBidi"/>
      <w:color w:val="061F57" w:themeColor="text2" w:themeShade="BF"/>
      <w:kern w:val="28"/>
      <w:sz w:val="52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DF027C"/>
    <w:pPr>
      <w:keepNext/>
      <w:spacing w:after="240" w:line="240" w:lineRule="auto"/>
      <w:outlineLvl w:val="1"/>
    </w:pPr>
    <w:rPr>
      <w:rFonts w:eastAsiaTheme="majorEastAsia" w:cstheme="majorBidi"/>
      <w:b w:val="0"/>
      <w:sz w:val="3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1"/>
    <w:qFormat/>
    <w:rsid w:val="00D86945"/>
    <w:pPr>
      <w:spacing w:after="200" w:line="240" w:lineRule="auto"/>
    </w:pPr>
    <w:rPr>
      <w:rFonts w:asciiTheme="majorHAnsi" w:eastAsiaTheme="majorEastAsia" w:hAnsiTheme="majorHAnsi" w:cstheme="majorBidi"/>
      <w:bCs/>
      <w:sz w:val="72"/>
      <w:szCs w:val="52"/>
    </w:rPr>
  </w:style>
  <w:style w:type="character" w:customStyle="1" w:styleId="NzevChar">
    <w:name w:val="Název Char"/>
    <w:basedOn w:val="Standardnpsmoodstavce"/>
    <w:link w:val="Nzev"/>
    <w:uiPriority w:val="1"/>
    <w:rsid w:val="00D86945"/>
    <w:rPr>
      <w:rFonts w:asciiTheme="majorHAnsi" w:eastAsiaTheme="majorEastAsia" w:hAnsiTheme="majorHAnsi" w:cstheme="majorBidi"/>
      <w:b/>
      <w:bCs/>
      <w:color w:val="082A75" w:themeColor="text2"/>
      <w:sz w:val="72"/>
      <w:szCs w:val="52"/>
    </w:rPr>
  </w:style>
  <w:style w:type="paragraph" w:styleId="Podnadpis">
    <w:name w:val="Subtitle"/>
    <w:basedOn w:val="Normln"/>
    <w:link w:val="PodnadpisChar"/>
    <w:uiPriority w:val="2"/>
    <w:qFormat/>
    <w:rsid w:val="00D86945"/>
    <w:pPr>
      <w:framePr w:hSpace="180" w:wrap="around" w:vAnchor="text" w:hAnchor="margin" w:y="1167"/>
    </w:pPr>
    <w:rPr>
      <w:b w:val="0"/>
      <w:caps/>
      <w:spacing w:val="20"/>
      <w:sz w:val="32"/>
    </w:rPr>
  </w:style>
  <w:style w:type="character" w:customStyle="1" w:styleId="PodnadpisChar">
    <w:name w:val="Podnadpis Char"/>
    <w:basedOn w:val="Standardnpsmoodstavce"/>
    <w:link w:val="Podnadpis"/>
    <w:uiPriority w:val="2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customStyle="1" w:styleId="Nadpis1Char">
    <w:name w:val="Nadpis 1 Char"/>
    <w:basedOn w:val="Standardnpsmoodstavce"/>
    <w:link w:val="Nadpis1"/>
    <w:uiPriority w:val="4"/>
    <w:rsid w:val="00D077E9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paragraph" w:styleId="Zhlav">
    <w:name w:val="header"/>
    <w:basedOn w:val="Normln"/>
    <w:link w:val="ZhlavChar"/>
    <w:uiPriority w:val="8"/>
    <w:unhideWhenUsed/>
    <w:rsid w:val="005037F0"/>
  </w:style>
  <w:style w:type="character" w:customStyle="1" w:styleId="ZhlavChar">
    <w:name w:val="Záhlaví Char"/>
    <w:basedOn w:val="Standardnpsmoodstavce"/>
    <w:link w:val="Zhlav"/>
    <w:uiPriority w:val="8"/>
    <w:rsid w:val="0093335D"/>
  </w:style>
  <w:style w:type="paragraph" w:styleId="Zpat">
    <w:name w:val="footer"/>
    <w:basedOn w:val="Normln"/>
    <w:link w:val="ZpatChar"/>
    <w:uiPriority w:val="99"/>
    <w:unhideWhenUsed/>
    <w:rsid w:val="005037F0"/>
  </w:style>
  <w:style w:type="character" w:customStyle="1" w:styleId="ZpatChar">
    <w:name w:val="Zápatí Char"/>
    <w:basedOn w:val="Standardnpsmoodstavce"/>
    <w:link w:val="Zpat"/>
    <w:uiPriority w:val="99"/>
    <w:rsid w:val="005037F0"/>
    <w:rPr>
      <w:sz w:val="24"/>
      <w:szCs w:val="24"/>
    </w:rPr>
  </w:style>
  <w:style w:type="paragraph" w:customStyle="1" w:styleId="Jmno">
    <w:name w:val="Jméno"/>
    <w:basedOn w:val="Normln"/>
    <w:uiPriority w:val="3"/>
    <w:qFormat/>
    <w:rsid w:val="00B231E5"/>
    <w:pPr>
      <w:spacing w:line="240" w:lineRule="auto"/>
      <w:jc w:val="right"/>
    </w:pPr>
  </w:style>
  <w:style w:type="character" w:customStyle="1" w:styleId="Nadpis2Char">
    <w:name w:val="Nadpis 2 Char"/>
    <w:basedOn w:val="Standardnpsmoodstavce"/>
    <w:link w:val="Nadpis2"/>
    <w:uiPriority w:val="4"/>
    <w:rsid w:val="00DF027C"/>
    <w:rPr>
      <w:rFonts w:eastAsiaTheme="majorEastAsia" w:cstheme="majorBidi"/>
      <w:color w:val="082A75" w:themeColor="text2"/>
      <w:sz w:val="36"/>
      <w:szCs w:val="26"/>
    </w:rPr>
  </w:style>
  <w:style w:type="table" w:styleId="Mkatabulky">
    <w:name w:val="Table Grid"/>
    <w:basedOn w:val="Normlntabulka"/>
    <w:uiPriority w:val="39"/>
    <w:rsid w:val="00FF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unhideWhenUsed/>
    <w:rsid w:val="00D86945"/>
    <w:rPr>
      <w:color w:val="808080"/>
    </w:rPr>
  </w:style>
  <w:style w:type="paragraph" w:customStyle="1" w:styleId="Obsah">
    <w:name w:val="Obsah"/>
    <w:basedOn w:val="Normln"/>
    <w:link w:val="Znakobsahu"/>
    <w:qFormat/>
    <w:rsid w:val="00DF027C"/>
    <w:rPr>
      <w:b w:val="0"/>
    </w:rPr>
  </w:style>
  <w:style w:type="paragraph" w:customStyle="1" w:styleId="Zvraznntext">
    <w:name w:val="Zvýrazněný text"/>
    <w:basedOn w:val="Normln"/>
    <w:link w:val="Znakzvraznnhotextu"/>
    <w:qFormat/>
    <w:rsid w:val="00DF027C"/>
  </w:style>
  <w:style w:type="character" w:customStyle="1" w:styleId="Znakobsahu">
    <w:name w:val="Znak obsahu"/>
    <w:basedOn w:val="Standardnpsmoodstavce"/>
    <w:link w:val="Obsah"/>
    <w:rsid w:val="00DF027C"/>
    <w:rPr>
      <w:rFonts w:eastAsiaTheme="minorEastAsia"/>
      <w:color w:val="082A75" w:themeColor="text2"/>
      <w:sz w:val="28"/>
      <w:szCs w:val="22"/>
    </w:rPr>
  </w:style>
  <w:style w:type="character" w:customStyle="1" w:styleId="Znakzvraznnhotextu">
    <w:name w:val="Znak zvýrazněného textu"/>
    <w:basedOn w:val="Standardnpsmoodstavce"/>
    <w:link w:val="Zvraznntext"/>
    <w:rsid w:val="00DF027C"/>
    <w:rPr>
      <w:rFonts w:eastAsiaTheme="minorEastAsia"/>
      <w:b/>
      <w:color w:val="082A75" w:themeColor="text2"/>
      <w:sz w:val="28"/>
      <w:szCs w:val="22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D30720"/>
    <w:pPr>
      <w:numPr>
        <w:numId w:val="1"/>
      </w:numPr>
      <w:spacing w:before="120" w:after="120" w:line="360" w:lineRule="auto"/>
      <w:contextualSpacing w:val="0"/>
      <w:jc w:val="both"/>
    </w:pPr>
    <w:rPr>
      <w:rFonts w:ascii="Arial" w:eastAsia="Times New Roman" w:hAnsi="Arial" w:cs="Arial"/>
      <w:b w:val="0"/>
      <w:color w:val="auto"/>
      <w:sz w:val="20"/>
      <w:szCs w:val="20"/>
      <w:lang w:eastAsia="cs-CZ"/>
    </w:rPr>
  </w:style>
  <w:style w:type="character" w:customStyle="1" w:styleId="OdrkybodChar">
    <w:name w:val="Odrážky_bod Char"/>
    <w:link w:val="Odrkybod"/>
    <w:uiPriority w:val="99"/>
    <w:qFormat/>
    <w:rsid w:val="00D3072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D30720"/>
    <w:pPr>
      <w:numPr>
        <w:ilvl w:val="1"/>
      </w:numPr>
      <w:tabs>
        <w:tab w:val="num" w:pos="360"/>
      </w:tabs>
    </w:pPr>
  </w:style>
  <w:style w:type="paragraph" w:styleId="Zkladntext">
    <w:name w:val="Body Text"/>
    <w:basedOn w:val="Normln"/>
    <w:link w:val="ZkladntextChar"/>
    <w:uiPriority w:val="1"/>
    <w:qFormat/>
    <w:rsid w:val="00D30720"/>
    <w:pPr>
      <w:widowControl w:val="0"/>
      <w:spacing w:line="240" w:lineRule="auto"/>
      <w:ind w:left="377"/>
    </w:pPr>
    <w:rPr>
      <w:rFonts w:ascii="Segoe UI" w:eastAsia="Segoe UI" w:hAnsi="Segoe UI"/>
      <w:b w:val="0"/>
      <w:color w:val="auto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720"/>
    <w:rPr>
      <w:rFonts w:ascii="Segoe UI" w:eastAsia="Segoe UI" w:hAnsi="Segoe UI"/>
      <w:sz w:val="18"/>
      <w:szCs w:val="18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unhideWhenUsed/>
    <w:qFormat/>
    <w:rsid w:val="00D30720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rsid w:val="000C3C59"/>
    <w:rPr>
      <w:rFonts w:eastAsiaTheme="minorEastAsia"/>
      <w:b/>
      <w:color w:val="082A75" w:themeColor="text2"/>
      <w:sz w:val="28"/>
      <w:szCs w:val="22"/>
    </w:rPr>
  </w:style>
  <w:style w:type="paragraph" w:customStyle="1" w:styleId="OM-nadpis1">
    <w:name w:val="OM - nadpis 1"/>
    <w:basedOn w:val="Normln"/>
    <w:next w:val="Normln"/>
    <w:uiPriority w:val="99"/>
    <w:qFormat/>
    <w:rsid w:val="000C3C59"/>
    <w:pPr>
      <w:pageBreakBefore/>
      <w:numPr>
        <w:numId w:val="13"/>
      </w:numPr>
      <w:spacing w:before="360" w:after="360" w:line="240" w:lineRule="auto"/>
    </w:pPr>
    <w:rPr>
      <w:rFonts w:eastAsia="Times New Roman" w:cs="Arial"/>
      <w:bCs/>
      <w:color w:val="auto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0C3C59"/>
    <w:pPr>
      <w:numPr>
        <w:ilvl w:val="1"/>
        <w:numId w:val="13"/>
      </w:numPr>
      <w:spacing w:before="480" w:after="240" w:line="264" w:lineRule="auto"/>
      <w:jc w:val="both"/>
    </w:pPr>
    <w:rPr>
      <w:rFonts w:ascii="Segoe UI" w:eastAsia="Times New Roman" w:hAnsi="Segoe UI" w:cs="Arial"/>
      <w:bCs/>
      <w:color w:val="auto"/>
      <w:sz w:val="24"/>
      <w:szCs w:val="24"/>
    </w:rPr>
  </w:style>
  <w:style w:type="paragraph" w:customStyle="1" w:styleId="OM-nadpis4">
    <w:name w:val="OM - nadpis 4"/>
    <w:basedOn w:val="Normln"/>
    <w:next w:val="Normln"/>
    <w:uiPriority w:val="99"/>
    <w:qFormat/>
    <w:rsid w:val="000C3C59"/>
    <w:pPr>
      <w:numPr>
        <w:ilvl w:val="3"/>
        <w:numId w:val="13"/>
      </w:numPr>
      <w:spacing w:after="120" w:line="240" w:lineRule="auto"/>
      <w:jc w:val="both"/>
      <w:outlineLvl w:val="3"/>
    </w:pPr>
    <w:rPr>
      <w:rFonts w:eastAsia="Times New Roman" w:cs="Arial"/>
      <w:bCs/>
      <w:color w:val="auto"/>
      <w:sz w:val="22"/>
      <w:szCs w:val="20"/>
    </w:rPr>
  </w:style>
  <w:style w:type="paragraph" w:customStyle="1" w:styleId="OM-napdis3">
    <w:name w:val="OM - napdis 3"/>
    <w:basedOn w:val="Normln"/>
    <w:next w:val="Normln"/>
    <w:link w:val="OM-napdis3Char"/>
    <w:uiPriority w:val="99"/>
    <w:qFormat/>
    <w:rsid w:val="000C3C59"/>
    <w:pPr>
      <w:numPr>
        <w:ilvl w:val="2"/>
        <w:numId w:val="13"/>
      </w:numPr>
      <w:spacing w:before="240" w:after="120" w:line="264" w:lineRule="auto"/>
      <w:jc w:val="both"/>
    </w:pPr>
    <w:rPr>
      <w:rFonts w:eastAsia="Times New Roman" w:cstheme="minorHAnsi"/>
      <w:bCs/>
      <w:iCs/>
      <w:color w:val="auto"/>
      <w:sz w:val="22"/>
    </w:rPr>
  </w:style>
  <w:style w:type="paragraph" w:customStyle="1" w:styleId="OM-nadpis5">
    <w:name w:val="OM - nadpis 5"/>
    <w:basedOn w:val="Normln"/>
    <w:next w:val="Normln"/>
    <w:uiPriority w:val="99"/>
    <w:qFormat/>
    <w:rsid w:val="000C3C59"/>
    <w:pPr>
      <w:numPr>
        <w:ilvl w:val="4"/>
        <w:numId w:val="13"/>
      </w:numPr>
      <w:spacing w:after="120" w:line="240" w:lineRule="auto"/>
      <w:jc w:val="both"/>
    </w:pPr>
    <w:rPr>
      <w:rFonts w:eastAsia="Times New Roman" w:cstheme="minorHAnsi"/>
      <w:iCs/>
      <w:color w:val="auto"/>
      <w:sz w:val="22"/>
    </w:rPr>
  </w:style>
  <w:style w:type="paragraph" w:customStyle="1" w:styleId="OM-nadpis6">
    <w:name w:val="OM - nadpis 6"/>
    <w:basedOn w:val="Normln"/>
    <w:next w:val="Normln"/>
    <w:uiPriority w:val="99"/>
    <w:qFormat/>
    <w:rsid w:val="000C3C59"/>
    <w:pPr>
      <w:numPr>
        <w:ilvl w:val="5"/>
        <w:numId w:val="13"/>
      </w:numPr>
      <w:spacing w:after="120" w:line="240" w:lineRule="auto"/>
      <w:jc w:val="both"/>
    </w:pPr>
    <w:rPr>
      <w:rFonts w:ascii="Arial" w:eastAsia="Times New Roman" w:hAnsi="Arial" w:cs="Arial"/>
      <w:b w:val="0"/>
      <w:color w:val="auto"/>
      <w:sz w:val="20"/>
      <w:szCs w:val="20"/>
    </w:rPr>
  </w:style>
  <w:style w:type="character" w:customStyle="1" w:styleId="OM-napdis3Char">
    <w:name w:val="OM - napdis 3 Char"/>
    <w:basedOn w:val="Standardnpsmoodstavce"/>
    <w:link w:val="OM-napdis3"/>
    <w:uiPriority w:val="99"/>
    <w:qFormat/>
    <w:rsid w:val="000C3C59"/>
    <w:rPr>
      <w:rFonts w:eastAsia="Times New Roman" w:cstheme="minorHAnsi"/>
      <w:b/>
      <w:bCs/>
      <w:iCs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4A4376"/>
    <w:rPr>
      <w:color w:val="3592C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A3BD5"/>
    <w:rPr>
      <w:color w:val="3592C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0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pes.cz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olak\AppData\Roaming\Microsoft\&#352;ablony\Sestava%20.dotx" TargetMode="External"/></Relationship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>Bohdan Polak 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8344EF-E825-4EA2-814E-753E85FD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Sestava </Template>
  <TotalTime>0</TotalTime>
  <Pages>7</Pages>
  <Words>1186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Bohdan</dc:creator>
  <cp:keywords/>
  <dc:description/>
  <cp:lastModifiedBy>Polak Bohdan</cp:lastModifiedBy>
  <cp:revision>2</cp:revision>
  <cp:lastPrinted>2022-08-19T15:23:00Z</cp:lastPrinted>
  <dcterms:created xsi:type="dcterms:W3CDTF">2023-04-14T11:25:00Z</dcterms:created>
  <dcterms:modified xsi:type="dcterms:W3CDTF">2023-04-14T11:25:00Z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</Properties>
</file>