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3952" w14:textId="3F884C94" w:rsidR="000B4CC9" w:rsidRPr="008719F7" w:rsidRDefault="006F7D4C" w:rsidP="005D5793">
      <w:pPr>
        <w:spacing w:after="120" w:line="276" w:lineRule="auto"/>
        <w:rPr>
          <w:rFonts w:ascii="Arial" w:eastAsia="Times New Roman" w:hAnsi="Arial" w:cs="Arial"/>
          <w:color w:val="00000A"/>
          <w:sz w:val="20"/>
          <w:szCs w:val="20"/>
        </w:rPr>
      </w:pPr>
      <w:r w:rsidRPr="008719F7">
        <w:rPr>
          <w:rFonts w:ascii="Arial" w:eastAsia="Times New Roman" w:hAnsi="Arial" w:cs="Arial"/>
          <w:color w:val="00000A"/>
          <w:sz w:val="20"/>
          <w:szCs w:val="20"/>
        </w:rPr>
        <w:t>Příloha č. 9</w:t>
      </w:r>
    </w:p>
    <w:p w14:paraId="49507FEA" w14:textId="77777777" w:rsidR="00C82BE3" w:rsidRPr="008719F7" w:rsidRDefault="00C82BE3" w:rsidP="00C82BE3">
      <w:pPr>
        <w:keepNext/>
        <w:spacing w:after="60"/>
        <w:jc w:val="center"/>
        <w:rPr>
          <w:rFonts w:ascii="Arial" w:eastAsia="Times New Roman" w:hAnsi="Arial" w:cs="Arial"/>
          <w:b/>
          <w:color w:val="00000A"/>
          <w:sz w:val="20"/>
          <w:szCs w:val="20"/>
        </w:rPr>
      </w:pPr>
    </w:p>
    <w:p w14:paraId="3371546D" w14:textId="77777777" w:rsidR="0086323D" w:rsidRPr="008719F7" w:rsidRDefault="0086323D" w:rsidP="0086323D">
      <w:pPr>
        <w:spacing w:after="120" w:line="276" w:lineRule="auto"/>
        <w:jc w:val="right"/>
        <w:rPr>
          <w:rFonts w:ascii="Arial" w:hAnsi="Arial" w:cs="Arial"/>
          <w:noProof/>
          <w:color w:val="000000" w:themeColor="text1"/>
          <w:sz w:val="20"/>
          <w:szCs w:val="20"/>
          <w:highlight w:val="lightGray"/>
        </w:rPr>
      </w:pPr>
      <w:r w:rsidRPr="008719F7">
        <w:rPr>
          <w:rFonts w:ascii="Arial" w:hAnsi="Arial" w:cs="Arial"/>
          <w:noProof/>
          <w:color w:val="000000" w:themeColor="text1"/>
          <w:sz w:val="20"/>
          <w:szCs w:val="20"/>
        </w:rPr>
        <w:t xml:space="preserve">V Praze </w:t>
      </w:r>
      <w:r w:rsidRPr="008719F7">
        <w:rPr>
          <w:rFonts w:ascii="Arial" w:hAnsi="Arial" w:cs="Arial"/>
          <w:noProof/>
          <w:color w:val="000000" w:themeColor="text1"/>
          <w:sz w:val="20"/>
          <w:szCs w:val="20"/>
          <w:highlight w:val="lightGray"/>
        </w:rPr>
        <w:t>x.xxxxxx 2020</w:t>
      </w:r>
    </w:p>
    <w:p w14:paraId="1DC0B89C" w14:textId="77777777" w:rsidR="0086323D" w:rsidRPr="008719F7" w:rsidRDefault="0086323D" w:rsidP="0086323D">
      <w:pPr>
        <w:spacing w:after="120" w:line="276" w:lineRule="auto"/>
        <w:jc w:val="right"/>
        <w:rPr>
          <w:rFonts w:ascii="Arial" w:hAnsi="Arial" w:cs="Arial"/>
          <w:noProof/>
          <w:color w:val="000000" w:themeColor="text1"/>
          <w:sz w:val="20"/>
          <w:szCs w:val="20"/>
        </w:rPr>
      </w:pPr>
      <w:r w:rsidRPr="008719F7">
        <w:rPr>
          <w:rFonts w:ascii="Arial" w:hAnsi="Arial" w:cs="Arial"/>
          <w:noProof/>
          <w:color w:val="000000" w:themeColor="text1"/>
          <w:sz w:val="20"/>
          <w:szCs w:val="20"/>
          <w:highlight w:val="lightGray"/>
        </w:rPr>
        <w:t xml:space="preserve">Č.j.: </w:t>
      </w:r>
      <w:r w:rsidRPr="008719F7">
        <w:rPr>
          <w:rFonts w:ascii="Arial" w:hAnsi="Arial" w:cs="Arial"/>
          <w:noProof/>
          <w:color w:val="000000" w:themeColor="text1"/>
          <w:sz w:val="20"/>
          <w:szCs w:val="20"/>
          <w:highlight w:val="lightGray"/>
        </w:rPr>
        <w:fldChar w:fldCharType="begin">
          <w:ffData>
            <w:name w:val="Text1"/>
            <w:enabled w:val="0"/>
            <w:calcOnExit w:val="0"/>
            <w:statusText w:type="text" w:val="MSWField: cj"/>
            <w:textInput>
              <w:default w:val="MZDR xxxxx/2020-x/EFI"/>
            </w:textInput>
          </w:ffData>
        </w:fldChar>
      </w:r>
      <w:bookmarkStart w:id="0" w:name="Text1"/>
      <w:r w:rsidRPr="008719F7">
        <w:rPr>
          <w:rFonts w:ascii="Arial" w:hAnsi="Arial" w:cs="Arial"/>
          <w:noProof/>
          <w:color w:val="000000" w:themeColor="text1"/>
          <w:sz w:val="20"/>
          <w:szCs w:val="20"/>
          <w:highlight w:val="lightGray"/>
        </w:rPr>
        <w:instrText xml:space="preserve"> FORMTEXT </w:instrText>
      </w:r>
      <w:r w:rsidRPr="008719F7">
        <w:rPr>
          <w:rFonts w:ascii="Arial" w:hAnsi="Arial" w:cs="Arial"/>
          <w:noProof/>
          <w:color w:val="000000" w:themeColor="text1"/>
          <w:sz w:val="20"/>
          <w:szCs w:val="20"/>
          <w:highlight w:val="lightGray"/>
        </w:rPr>
      </w:r>
      <w:r w:rsidRPr="008719F7">
        <w:rPr>
          <w:rFonts w:ascii="Arial" w:hAnsi="Arial" w:cs="Arial"/>
          <w:noProof/>
          <w:color w:val="000000" w:themeColor="text1"/>
          <w:sz w:val="20"/>
          <w:szCs w:val="20"/>
          <w:highlight w:val="lightGray"/>
        </w:rPr>
        <w:fldChar w:fldCharType="separate"/>
      </w:r>
      <w:r w:rsidRPr="008719F7">
        <w:rPr>
          <w:rFonts w:ascii="Arial" w:hAnsi="Arial" w:cs="Arial"/>
          <w:noProof/>
          <w:color w:val="000000" w:themeColor="text1"/>
          <w:sz w:val="20"/>
          <w:szCs w:val="20"/>
          <w:highlight w:val="lightGray"/>
        </w:rPr>
        <w:t>MZDR xxxxx/2020-x/EFI</w:t>
      </w:r>
      <w:r w:rsidRPr="008719F7">
        <w:rPr>
          <w:rFonts w:ascii="Arial" w:hAnsi="Arial" w:cs="Arial"/>
          <w:noProof/>
          <w:color w:val="000000" w:themeColor="text1"/>
          <w:sz w:val="20"/>
          <w:szCs w:val="20"/>
          <w:highlight w:val="lightGray"/>
        </w:rPr>
        <w:fldChar w:fldCharType="end"/>
      </w:r>
      <w:bookmarkEnd w:id="0"/>
    </w:p>
    <w:p w14:paraId="01830D6A" w14:textId="77777777" w:rsidR="0086323D" w:rsidRPr="008719F7" w:rsidRDefault="0086323D" w:rsidP="00C82BE3">
      <w:pPr>
        <w:keepNext/>
        <w:spacing w:after="60"/>
        <w:jc w:val="center"/>
        <w:rPr>
          <w:rFonts w:ascii="Arial" w:eastAsia="Times New Roman" w:hAnsi="Arial" w:cs="Arial"/>
          <w:b/>
          <w:color w:val="00000A"/>
          <w:sz w:val="20"/>
          <w:szCs w:val="20"/>
        </w:rPr>
      </w:pPr>
    </w:p>
    <w:p w14:paraId="57675D40" w14:textId="77777777" w:rsidR="0086323D" w:rsidRPr="008719F7" w:rsidRDefault="0086323D" w:rsidP="00C82BE3">
      <w:pPr>
        <w:keepNext/>
        <w:spacing w:after="60"/>
        <w:jc w:val="center"/>
        <w:rPr>
          <w:rFonts w:ascii="Arial" w:eastAsia="Times New Roman" w:hAnsi="Arial" w:cs="Arial"/>
          <w:b/>
          <w:color w:val="00000A"/>
          <w:sz w:val="20"/>
          <w:szCs w:val="20"/>
        </w:rPr>
      </w:pPr>
    </w:p>
    <w:p w14:paraId="304819D6" w14:textId="4EDDCC65" w:rsidR="00C82BE3" w:rsidRPr="008719F7" w:rsidRDefault="00C82BE3" w:rsidP="00C82BE3">
      <w:pPr>
        <w:keepNext/>
        <w:spacing w:after="60"/>
        <w:jc w:val="center"/>
        <w:rPr>
          <w:rFonts w:ascii="Arial" w:eastAsia="Times New Roman" w:hAnsi="Arial" w:cs="Arial"/>
          <w:b/>
          <w:color w:val="00000A"/>
          <w:sz w:val="20"/>
          <w:szCs w:val="20"/>
        </w:rPr>
      </w:pPr>
      <w:r w:rsidRPr="008719F7">
        <w:rPr>
          <w:rFonts w:ascii="Arial" w:eastAsia="Times New Roman" w:hAnsi="Arial" w:cs="Arial"/>
          <w:b/>
          <w:color w:val="00000A"/>
          <w:sz w:val="20"/>
          <w:szCs w:val="20"/>
        </w:rPr>
        <w:t xml:space="preserve">ROZHODNUTÍ </w:t>
      </w:r>
    </w:p>
    <w:p w14:paraId="5913FACF" w14:textId="77777777" w:rsidR="00C82BE3" w:rsidRPr="008719F7" w:rsidRDefault="00C82BE3" w:rsidP="00C82BE3">
      <w:pPr>
        <w:keepNext/>
        <w:spacing w:after="60"/>
        <w:jc w:val="center"/>
        <w:rPr>
          <w:rFonts w:ascii="Arial" w:eastAsia="Times New Roman" w:hAnsi="Arial" w:cs="Arial"/>
          <w:b/>
          <w:color w:val="00000A"/>
          <w:sz w:val="20"/>
          <w:szCs w:val="20"/>
          <w:shd w:val="clear" w:color="auto" w:fill="B7B7B7"/>
        </w:rPr>
      </w:pPr>
      <w:r w:rsidRPr="008719F7">
        <w:rPr>
          <w:rFonts w:ascii="Arial" w:eastAsia="Times New Roman" w:hAnsi="Arial" w:cs="Arial"/>
          <w:b/>
          <w:color w:val="00000A"/>
          <w:sz w:val="20"/>
          <w:szCs w:val="20"/>
        </w:rPr>
        <w:t xml:space="preserve">O POSKYTNUTÍ DOTACE Č. </w:t>
      </w:r>
      <w:proofErr w:type="spellStart"/>
      <w:r w:rsidRPr="008719F7">
        <w:rPr>
          <w:rFonts w:ascii="Arial" w:eastAsia="Times New Roman" w:hAnsi="Arial" w:cs="Arial"/>
          <w:b/>
          <w:color w:val="00000A"/>
          <w:sz w:val="20"/>
          <w:szCs w:val="20"/>
          <w:shd w:val="clear" w:color="auto" w:fill="B7B7B7"/>
        </w:rPr>
        <w:t>xxxxx</w:t>
      </w:r>
      <w:proofErr w:type="spellEnd"/>
    </w:p>
    <w:p w14:paraId="6E89CFC2" w14:textId="77777777" w:rsidR="00C82BE3" w:rsidRPr="008719F7" w:rsidRDefault="00C82BE3" w:rsidP="00C82BE3">
      <w:pPr>
        <w:rPr>
          <w:rFonts w:ascii="Arial" w:eastAsia="Times New Roman" w:hAnsi="Arial" w:cs="Arial"/>
          <w:color w:val="00000A"/>
          <w:sz w:val="20"/>
          <w:szCs w:val="20"/>
        </w:rPr>
      </w:pPr>
    </w:p>
    <w:p w14:paraId="37F42948" w14:textId="789402C0" w:rsidR="00C82BE3" w:rsidRPr="008719F7" w:rsidRDefault="00C82BE3" w:rsidP="0086323D">
      <w:pPr>
        <w:spacing w:after="120" w:line="276" w:lineRule="auto"/>
        <w:rPr>
          <w:rFonts w:ascii="Arial" w:eastAsia="Times New Roman" w:hAnsi="Arial" w:cs="Arial"/>
          <w:color w:val="00000A"/>
          <w:sz w:val="20"/>
          <w:szCs w:val="20"/>
        </w:rPr>
      </w:pPr>
      <w:r w:rsidRPr="008719F7">
        <w:rPr>
          <w:rFonts w:ascii="Arial" w:eastAsia="Times New Roman" w:hAnsi="Arial" w:cs="Arial"/>
          <w:color w:val="00000A"/>
          <w:sz w:val="20"/>
          <w:szCs w:val="20"/>
        </w:rPr>
        <w:t xml:space="preserve">Ministerstvo zdravotnictví se sídlem Palackého náměstí </w:t>
      </w:r>
      <w:r w:rsidR="0086323D" w:rsidRPr="008719F7">
        <w:rPr>
          <w:rFonts w:ascii="Arial" w:eastAsia="Times New Roman" w:hAnsi="Arial" w:cs="Arial"/>
          <w:color w:val="00000A"/>
          <w:sz w:val="20"/>
          <w:szCs w:val="20"/>
        </w:rPr>
        <w:t>375/</w:t>
      </w:r>
      <w:r w:rsidRPr="008719F7">
        <w:rPr>
          <w:rFonts w:ascii="Arial" w:eastAsia="Times New Roman" w:hAnsi="Arial" w:cs="Arial"/>
          <w:color w:val="00000A"/>
          <w:sz w:val="20"/>
          <w:szCs w:val="20"/>
        </w:rPr>
        <w:t xml:space="preserve">4, 128 01 Praha 2, IČO: </w:t>
      </w:r>
      <w:r w:rsidRPr="008719F7">
        <w:rPr>
          <w:rFonts w:ascii="Arial" w:eastAsia="Times New Roman" w:hAnsi="Arial" w:cs="Arial"/>
          <w:color w:val="000000"/>
          <w:sz w:val="20"/>
          <w:szCs w:val="20"/>
        </w:rPr>
        <w:t>00024341</w:t>
      </w:r>
      <w:r w:rsidRPr="008719F7">
        <w:rPr>
          <w:rFonts w:ascii="Arial" w:eastAsia="Times New Roman" w:hAnsi="Arial" w:cs="Arial"/>
          <w:color w:val="FF6600"/>
          <w:sz w:val="20"/>
          <w:szCs w:val="20"/>
        </w:rPr>
        <w:t xml:space="preserve"> </w:t>
      </w:r>
      <w:r w:rsidRPr="008719F7">
        <w:rPr>
          <w:rFonts w:ascii="Arial" w:eastAsia="Times New Roman" w:hAnsi="Arial" w:cs="Arial"/>
          <w:color w:val="00000A"/>
          <w:sz w:val="20"/>
          <w:szCs w:val="20"/>
        </w:rPr>
        <w:t>(dále jen „Poskytovatel dotace“) jakožto Poskytovatel dotace podle ustanovení § 14 odst. 2 zákona č. 218/2000 Sb., o rozpočtových pravidlech a o změně některých souvisejících zákonů (rozpočtová pravidla), ve znění pozdějších předpisů (dále jen „Rozpočtová pravidla“), v</w:t>
      </w:r>
      <w:r w:rsidR="00176428" w:rsidRPr="008719F7">
        <w:rPr>
          <w:rFonts w:ascii="Arial" w:eastAsia="Times New Roman" w:hAnsi="Arial" w:cs="Arial"/>
          <w:color w:val="00000A"/>
          <w:sz w:val="20"/>
          <w:szCs w:val="20"/>
        </w:rPr>
        <w:t> </w:t>
      </w:r>
      <w:r w:rsidRPr="008719F7">
        <w:rPr>
          <w:rFonts w:ascii="Arial" w:eastAsia="Times New Roman" w:hAnsi="Arial" w:cs="Arial"/>
          <w:color w:val="00000A"/>
          <w:sz w:val="20"/>
          <w:szCs w:val="20"/>
        </w:rPr>
        <w:t>projektu „Specializační vzdělávání v oboru dětská neurologie“ (dále jen „Projekt“), spolufinancovaného Evropskou unií z Evropského sociálního fondu v rámci Operačního programu Zaměstnanost, rozhodlo o žádosti o dotaci v</w:t>
      </w:r>
      <w:r w:rsidR="004333C7" w:rsidRPr="008719F7">
        <w:rPr>
          <w:rFonts w:ascii="Arial" w:eastAsia="Times New Roman" w:hAnsi="Arial" w:cs="Arial"/>
          <w:color w:val="00000A"/>
          <w:sz w:val="20"/>
          <w:szCs w:val="20"/>
        </w:rPr>
        <w:t xml:space="preserve"> </w:t>
      </w:r>
      <w:r w:rsidR="0086323D" w:rsidRPr="008719F7">
        <w:rPr>
          <w:rFonts w:ascii="Arial" w:eastAsia="Times New Roman" w:hAnsi="Arial" w:cs="Arial"/>
          <w:color w:val="00000A"/>
          <w:sz w:val="20"/>
          <w:szCs w:val="20"/>
        </w:rPr>
        <w:t>„Programu specializačního vzdělávání v oboru dětská neurologie“</w:t>
      </w:r>
      <w:r w:rsidRPr="008719F7">
        <w:rPr>
          <w:rFonts w:ascii="Arial" w:eastAsia="Times New Roman" w:hAnsi="Arial" w:cs="Arial"/>
          <w:color w:val="00000A"/>
          <w:sz w:val="20"/>
          <w:szCs w:val="20"/>
        </w:rPr>
        <w:t xml:space="preserve"> podle </w:t>
      </w:r>
      <w:proofErr w:type="spellStart"/>
      <w:r w:rsidRPr="008719F7">
        <w:rPr>
          <w:rFonts w:ascii="Arial" w:eastAsia="Times New Roman" w:hAnsi="Arial" w:cs="Arial"/>
          <w:color w:val="00000A"/>
          <w:sz w:val="20"/>
          <w:szCs w:val="20"/>
        </w:rPr>
        <w:t>ust</w:t>
      </w:r>
      <w:proofErr w:type="spellEnd"/>
      <w:r w:rsidRPr="008719F7">
        <w:rPr>
          <w:rFonts w:ascii="Arial" w:eastAsia="Times New Roman" w:hAnsi="Arial" w:cs="Arial"/>
          <w:color w:val="00000A"/>
          <w:sz w:val="20"/>
          <w:szCs w:val="20"/>
        </w:rPr>
        <w:t>. § 14 odst. 3 Rozpočtových pravidel, v řízení vedeném podle Rozpočtových pravidel a zákona č. 500/2004 Sb., správní řád, ve znění pozdějších předpisů (dále jen „Správní řád“), takto:</w:t>
      </w:r>
    </w:p>
    <w:p w14:paraId="6959FEB7" w14:textId="77777777" w:rsidR="00C82BE3" w:rsidRPr="008719F7" w:rsidRDefault="00C82BE3" w:rsidP="00C82BE3">
      <w:pPr>
        <w:spacing w:after="120" w:line="276" w:lineRule="auto"/>
        <w:ind w:left="720" w:hanging="720"/>
        <w:rPr>
          <w:rFonts w:ascii="Arial" w:eastAsia="Times New Roman" w:hAnsi="Arial" w:cs="Arial"/>
          <w:color w:val="00000A"/>
          <w:sz w:val="20"/>
          <w:szCs w:val="20"/>
        </w:rPr>
      </w:pPr>
    </w:p>
    <w:p w14:paraId="3C8DA98B" w14:textId="1D39353F" w:rsidR="00C82BE3" w:rsidRPr="008719F7" w:rsidRDefault="00C82BE3" w:rsidP="00995E23">
      <w:pPr>
        <w:numPr>
          <w:ilvl w:val="0"/>
          <w:numId w:val="15"/>
        </w:numPr>
        <w:pBdr>
          <w:top w:val="nil"/>
          <w:left w:val="nil"/>
          <w:bottom w:val="nil"/>
          <w:right w:val="nil"/>
          <w:between w:val="nil"/>
        </w:pBdr>
        <w:spacing w:after="120" w:line="276" w:lineRule="auto"/>
        <w:ind w:left="720" w:hanging="720"/>
        <w:rPr>
          <w:rFonts w:ascii="Arial" w:eastAsia="Times New Roman" w:hAnsi="Arial" w:cs="Arial"/>
          <w:b/>
          <w:color w:val="00000A"/>
          <w:sz w:val="20"/>
          <w:szCs w:val="20"/>
        </w:rPr>
      </w:pPr>
      <w:r w:rsidRPr="008719F7">
        <w:rPr>
          <w:rFonts w:ascii="Arial" w:eastAsia="Times New Roman" w:hAnsi="Arial" w:cs="Arial"/>
          <w:color w:val="00000A"/>
          <w:sz w:val="20"/>
          <w:szCs w:val="20"/>
        </w:rPr>
        <w:t>Žadateli</w:t>
      </w:r>
      <w:r w:rsidR="0086323D" w:rsidRPr="008719F7">
        <w:rPr>
          <w:rFonts w:ascii="Arial" w:eastAsia="Times New Roman" w:hAnsi="Arial" w:cs="Arial"/>
          <w:color w:val="00000A"/>
          <w:sz w:val="20"/>
          <w:szCs w:val="20"/>
        </w:rPr>
        <w:t xml:space="preserve"> (</w:t>
      </w:r>
      <w:r w:rsidR="0086323D" w:rsidRPr="008719F7">
        <w:rPr>
          <w:rFonts w:ascii="Arial" w:eastAsia="Times New Roman" w:hAnsi="Arial" w:cs="Arial"/>
          <w:color w:val="00000A"/>
          <w:sz w:val="20"/>
          <w:szCs w:val="20"/>
          <w:highlight w:val="lightGray"/>
        </w:rPr>
        <w:t>název</w:t>
      </w:r>
      <w:r w:rsidR="0086323D" w:rsidRPr="008719F7">
        <w:rPr>
          <w:rFonts w:ascii="Arial" w:eastAsia="Times New Roman" w:hAnsi="Arial" w:cs="Arial"/>
          <w:color w:val="00000A"/>
          <w:sz w:val="20"/>
          <w:szCs w:val="20"/>
        </w:rPr>
        <w:t>)</w:t>
      </w:r>
      <w:r w:rsidR="00D477CC" w:rsidRPr="008719F7">
        <w:rPr>
          <w:rStyle w:val="Znakapoznpodarou"/>
          <w:rFonts w:ascii="Arial" w:eastAsia="Times New Roman" w:hAnsi="Arial" w:cs="Arial"/>
          <w:color w:val="00000A"/>
          <w:sz w:val="20"/>
          <w:szCs w:val="20"/>
        </w:rPr>
        <w:footnoteReference w:id="1"/>
      </w:r>
      <w:r w:rsidRPr="008719F7">
        <w:rPr>
          <w:rFonts w:ascii="Arial" w:eastAsia="Times New Roman" w:hAnsi="Arial" w:cs="Arial"/>
          <w:color w:val="00000A"/>
          <w:sz w:val="20"/>
          <w:szCs w:val="20"/>
        </w:rPr>
        <w:t xml:space="preserve"> </w:t>
      </w:r>
      <w:r w:rsidRPr="008719F7">
        <w:rPr>
          <w:rFonts w:ascii="Arial" w:eastAsia="Times New Roman" w:hAnsi="Arial" w:cs="Arial"/>
          <w:color w:val="00000A"/>
          <w:sz w:val="20"/>
          <w:szCs w:val="20"/>
          <w:shd w:val="clear" w:color="auto" w:fill="B7B7B7"/>
        </w:rPr>
        <w:t xml:space="preserve"> </w:t>
      </w:r>
    </w:p>
    <w:p w14:paraId="363E2347" w14:textId="2CD0BFD0" w:rsidR="0086323D" w:rsidRPr="008719F7" w:rsidRDefault="0086323D" w:rsidP="0086323D">
      <w:pPr>
        <w:pStyle w:val="Odstavecseseznamem"/>
        <w:spacing w:after="120" w:line="276" w:lineRule="auto"/>
        <w:ind w:left="0"/>
        <w:rPr>
          <w:rFonts w:ascii="Arial" w:eastAsia="Calibri" w:hAnsi="Arial" w:cs="Arial"/>
          <w:sz w:val="20"/>
          <w:szCs w:val="20"/>
          <w:highlight w:val="yellow"/>
        </w:rPr>
      </w:pPr>
      <w:r w:rsidRPr="008719F7">
        <w:rPr>
          <w:rFonts w:ascii="Arial" w:eastAsia="Calibri" w:hAnsi="Arial" w:cs="Arial"/>
          <w:sz w:val="20"/>
          <w:szCs w:val="20"/>
        </w:rPr>
        <w:t xml:space="preserve">se sídlem: </w:t>
      </w:r>
      <w:r w:rsidR="00E56845" w:rsidRPr="008719F7">
        <w:rPr>
          <w:rFonts w:ascii="Arial" w:hAnsi="Arial" w:cs="Arial"/>
          <w:noProof/>
          <w:sz w:val="20"/>
          <w:szCs w:val="20"/>
          <w:highlight w:val="lightGray"/>
        </w:rPr>
        <w:t>adresa</w:t>
      </w:r>
    </w:p>
    <w:p w14:paraId="08DC39BB" w14:textId="3D3761F2" w:rsidR="0086323D" w:rsidRPr="008719F7" w:rsidRDefault="0086323D" w:rsidP="0086323D">
      <w:pPr>
        <w:pStyle w:val="Odstavecseseznamem"/>
        <w:spacing w:after="120" w:line="276" w:lineRule="auto"/>
        <w:ind w:left="0"/>
        <w:rPr>
          <w:rFonts w:ascii="Arial" w:eastAsia="Calibri" w:hAnsi="Arial" w:cs="Arial"/>
          <w:sz w:val="20"/>
          <w:szCs w:val="20"/>
          <w:highlight w:val="yellow"/>
        </w:rPr>
      </w:pPr>
      <w:r w:rsidRPr="008719F7">
        <w:rPr>
          <w:rFonts w:ascii="Arial" w:hAnsi="Arial" w:cs="Arial"/>
          <w:noProof/>
          <w:sz w:val="20"/>
          <w:szCs w:val="20"/>
        </w:rPr>
        <w:t>IČO</w:t>
      </w:r>
      <w:r w:rsidRPr="008719F7">
        <w:rPr>
          <w:rFonts w:ascii="Arial" w:hAnsi="Arial" w:cs="Arial"/>
          <w:noProof/>
          <w:sz w:val="20"/>
          <w:szCs w:val="20"/>
          <w:highlight w:val="lightGray"/>
        </w:rPr>
        <w:t xml:space="preserve">: </w:t>
      </w:r>
      <w:r w:rsidR="00E56845" w:rsidRPr="008719F7">
        <w:rPr>
          <w:rFonts w:ascii="Arial" w:hAnsi="Arial" w:cs="Arial"/>
          <w:noProof/>
          <w:sz w:val="20"/>
          <w:szCs w:val="20"/>
          <w:highlight w:val="lightGray"/>
        </w:rPr>
        <w:t>xxxxxxxx</w:t>
      </w:r>
    </w:p>
    <w:p w14:paraId="039F73BC" w14:textId="3BCCC71F" w:rsidR="0086323D" w:rsidRPr="008719F7" w:rsidRDefault="00E56845" w:rsidP="0086323D">
      <w:pPr>
        <w:pStyle w:val="Odstavecseseznamem"/>
        <w:spacing w:after="120" w:line="276" w:lineRule="auto"/>
        <w:ind w:left="0"/>
        <w:rPr>
          <w:rFonts w:ascii="Arial" w:hAnsi="Arial" w:cs="Arial"/>
          <w:noProof/>
          <w:sz w:val="20"/>
          <w:szCs w:val="20"/>
          <w:highlight w:val="yellow"/>
        </w:rPr>
      </w:pPr>
      <w:r w:rsidRPr="008719F7">
        <w:rPr>
          <w:rFonts w:ascii="Arial" w:hAnsi="Arial" w:cs="Arial"/>
          <w:noProof/>
          <w:sz w:val="20"/>
          <w:szCs w:val="20"/>
        </w:rPr>
        <w:t xml:space="preserve">Bankovní spojení </w:t>
      </w:r>
      <w:r w:rsidR="00174078" w:rsidRPr="008719F7">
        <w:rPr>
          <w:rFonts w:ascii="Arial" w:hAnsi="Arial" w:cs="Arial"/>
          <w:noProof/>
          <w:sz w:val="20"/>
          <w:szCs w:val="20"/>
          <w:highlight w:val="lightGray"/>
        </w:rPr>
        <w:t>Ž</w:t>
      </w:r>
      <w:r w:rsidR="00D477CC" w:rsidRPr="008719F7">
        <w:rPr>
          <w:rFonts w:ascii="Arial" w:hAnsi="Arial" w:cs="Arial"/>
          <w:noProof/>
          <w:sz w:val="20"/>
          <w:szCs w:val="20"/>
          <w:highlight w:val="lightGray"/>
        </w:rPr>
        <w:t>adatele</w:t>
      </w:r>
      <w:r w:rsidRPr="008719F7">
        <w:rPr>
          <w:rFonts w:ascii="Arial" w:hAnsi="Arial" w:cs="Arial"/>
          <w:noProof/>
          <w:sz w:val="20"/>
          <w:szCs w:val="20"/>
          <w:highlight w:val="lightGray"/>
        </w:rPr>
        <w:t>/</w:t>
      </w:r>
      <w:r w:rsidR="00D477CC" w:rsidRPr="008719F7">
        <w:rPr>
          <w:rFonts w:ascii="Arial" w:hAnsi="Arial" w:cs="Arial"/>
          <w:noProof/>
          <w:sz w:val="20"/>
          <w:szCs w:val="20"/>
          <w:highlight w:val="lightGray"/>
        </w:rPr>
        <w:t>z</w:t>
      </w:r>
      <w:r w:rsidRPr="008719F7">
        <w:rPr>
          <w:rFonts w:ascii="Arial" w:hAnsi="Arial" w:cs="Arial"/>
          <w:noProof/>
          <w:sz w:val="20"/>
          <w:szCs w:val="20"/>
          <w:highlight w:val="lightGray"/>
        </w:rPr>
        <w:t>řizovatele:</w:t>
      </w:r>
      <w:r w:rsidR="0086323D" w:rsidRPr="008719F7">
        <w:rPr>
          <w:rFonts w:ascii="Arial" w:hAnsi="Arial" w:cs="Arial"/>
          <w:noProof/>
          <w:sz w:val="20"/>
          <w:szCs w:val="20"/>
          <w:highlight w:val="lightGray"/>
        </w:rPr>
        <w:t xml:space="preserve"> </w:t>
      </w:r>
      <w:r w:rsidRPr="008719F7">
        <w:rPr>
          <w:rFonts w:ascii="Arial" w:hAnsi="Arial" w:cs="Arial"/>
          <w:noProof/>
          <w:sz w:val="20"/>
          <w:szCs w:val="20"/>
          <w:highlight w:val="lightGray"/>
        </w:rPr>
        <w:t>název banky</w:t>
      </w:r>
    </w:p>
    <w:p w14:paraId="4DF629C1" w14:textId="53F06FBC" w:rsidR="0086323D" w:rsidRPr="008719F7" w:rsidRDefault="0086323D" w:rsidP="00E56845">
      <w:pPr>
        <w:pStyle w:val="Odstavecseseznamem"/>
        <w:spacing w:after="120" w:line="276" w:lineRule="auto"/>
        <w:ind w:left="0"/>
        <w:rPr>
          <w:rFonts w:ascii="Arial" w:hAnsi="Arial" w:cs="Arial"/>
          <w:noProof/>
          <w:sz w:val="20"/>
          <w:szCs w:val="20"/>
          <w:highlight w:val="yellow"/>
        </w:rPr>
      </w:pPr>
      <w:r w:rsidRPr="008719F7">
        <w:rPr>
          <w:rFonts w:ascii="Arial" w:hAnsi="Arial" w:cs="Arial"/>
          <w:noProof/>
          <w:sz w:val="20"/>
          <w:szCs w:val="20"/>
        </w:rPr>
        <w:t xml:space="preserve">Číslo účtu: </w:t>
      </w:r>
      <w:r w:rsidR="00E56845" w:rsidRPr="008719F7">
        <w:rPr>
          <w:rFonts w:ascii="Arial" w:hAnsi="Arial" w:cs="Arial"/>
          <w:noProof/>
          <w:sz w:val="20"/>
          <w:szCs w:val="20"/>
          <w:highlight w:val="lightGray"/>
        </w:rPr>
        <w:t>xxxxxxxxxxxxx</w:t>
      </w:r>
    </w:p>
    <w:p w14:paraId="21AE0507" w14:textId="77777777" w:rsidR="00C82BE3" w:rsidRPr="008719F7" w:rsidRDefault="00C82BE3" w:rsidP="00C82BE3">
      <w:pPr>
        <w:spacing w:after="120" w:line="276" w:lineRule="auto"/>
        <w:ind w:left="720" w:hanging="720"/>
        <w:rPr>
          <w:rFonts w:ascii="Arial" w:eastAsia="Times New Roman" w:hAnsi="Arial" w:cs="Arial"/>
          <w:color w:val="00000A"/>
          <w:sz w:val="20"/>
          <w:szCs w:val="20"/>
          <w:shd w:val="clear" w:color="auto" w:fill="B7B7B7"/>
        </w:rPr>
      </w:pPr>
      <w:r w:rsidRPr="008719F7">
        <w:rPr>
          <w:rFonts w:ascii="Arial" w:eastAsia="Times New Roman" w:hAnsi="Arial" w:cs="Arial"/>
          <w:color w:val="00000A"/>
          <w:sz w:val="20"/>
          <w:szCs w:val="20"/>
        </w:rPr>
        <w:t>na základě žádost</w:t>
      </w:r>
      <w:r w:rsidRPr="008719F7">
        <w:rPr>
          <w:rFonts w:ascii="Arial" w:eastAsia="Times New Roman" w:hAnsi="Arial" w:cs="Arial"/>
          <w:color w:val="00000A"/>
          <w:sz w:val="20"/>
          <w:szCs w:val="20"/>
          <w:shd w:val="clear" w:color="auto" w:fill="B7B7B7"/>
        </w:rPr>
        <w:t xml:space="preserve">i (identifikace žádosti – číslo, datum podání) </w:t>
      </w:r>
      <w:bookmarkStart w:id="1" w:name="_GoBack"/>
      <w:bookmarkEnd w:id="1"/>
    </w:p>
    <w:p w14:paraId="2C03949E" w14:textId="77777777" w:rsidR="00C82BE3" w:rsidRPr="008719F7" w:rsidRDefault="00C82BE3" w:rsidP="00C82BE3">
      <w:pPr>
        <w:spacing w:after="120" w:line="276" w:lineRule="auto"/>
        <w:ind w:left="720" w:hanging="720"/>
        <w:rPr>
          <w:rFonts w:ascii="Arial" w:eastAsia="Times New Roman" w:hAnsi="Arial" w:cs="Arial"/>
          <w:color w:val="00000A"/>
          <w:sz w:val="20"/>
          <w:szCs w:val="20"/>
          <w:shd w:val="clear" w:color="auto" w:fill="B7B7B7"/>
        </w:rPr>
      </w:pPr>
      <w:r w:rsidRPr="008719F7">
        <w:rPr>
          <w:rFonts w:ascii="Arial" w:eastAsia="Times New Roman" w:hAnsi="Arial" w:cs="Arial"/>
          <w:color w:val="00000A"/>
          <w:sz w:val="20"/>
          <w:szCs w:val="20"/>
        </w:rPr>
        <w:t>o poskytnutí dotace ve výš</w:t>
      </w:r>
      <w:r w:rsidRPr="008719F7">
        <w:rPr>
          <w:rFonts w:ascii="Arial" w:eastAsia="Times New Roman" w:hAnsi="Arial" w:cs="Arial"/>
          <w:color w:val="00000A"/>
          <w:sz w:val="20"/>
          <w:szCs w:val="20"/>
          <w:shd w:val="clear" w:color="auto" w:fill="B7B7B7"/>
        </w:rPr>
        <w:t>i (max. částka) Kč</w:t>
      </w:r>
    </w:p>
    <w:p w14:paraId="20693848" w14:textId="77777777" w:rsidR="00C82BE3" w:rsidRPr="008719F7" w:rsidRDefault="00C82BE3" w:rsidP="00C82BE3">
      <w:pPr>
        <w:spacing w:after="120" w:line="276" w:lineRule="auto"/>
        <w:ind w:left="720" w:hanging="720"/>
        <w:rPr>
          <w:rFonts w:ascii="Arial" w:eastAsia="Times New Roman" w:hAnsi="Arial" w:cs="Arial"/>
          <w:color w:val="00000A"/>
          <w:sz w:val="20"/>
          <w:szCs w:val="20"/>
        </w:rPr>
      </w:pPr>
    </w:p>
    <w:p w14:paraId="7FA0F58C" w14:textId="77777777" w:rsidR="00C82BE3" w:rsidRPr="008719F7" w:rsidRDefault="00C82BE3" w:rsidP="006F7D4C">
      <w:pPr>
        <w:keepLines/>
        <w:pBdr>
          <w:top w:val="nil"/>
          <w:left w:val="nil"/>
          <w:bottom w:val="nil"/>
          <w:right w:val="nil"/>
          <w:between w:val="nil"/>
        </w:pBdr>
        <w:spacing w:after="120" w:line="276" w:lineRule="auto"/>
        <w:ind w:left="720" w:hanging="720"/>
        <w:jc w:val="center"/>
        <w:rPr>
          <w:rFonts w:ascii="Arial" w:eastAsia="Times New Roman" w:hAnsi="Arial" w:cs="Arial"/>
          <w:b/>
          <w:color w:val="00000A"/>
          <w:sz w:val="20"/>
          <w:szCs w:val="20"/>
        </w:rPr>
      </w:pPr>
      <w:r w:rsidRPr="008719F7">
        <w:rPr>
          <w:rFonts w:ascii="Arial" w:eastAsia="Times New Roman" w:hAnsi="Arial" w:cs="Arial"/>
          <w:b/>
          <w:color w:val="00000A"/>
          <w:sz w:val="20"/>
          <w:szCs w:val="20"/>
        </w:rPr>
        <w:t>se podle ustanovení § 14m odst. 1 písm. a) Rozpočtových pravidel za podmínek dále stanovených v tomto Rozhodnutí</w:t>
      </w:r>
    </w:p>
    <w:p w14:paraId="5CF9026E" w14:textId="77777777" w:rsidR="00C82BE3" w:rsidRPr="008719F7" w:rsidRDefault="00C82BE3" w:rsidP="006F7D4C">
      <w:pPr>
        <w:keepLines/>
        <w:spacing w:after="120" w:line="276" w:lineRule="auto"/>
        <w:ind w:left="720" w:hanging="720"/>
        <w:jc w:val="center"/>
        <w:rPr>
          <w:rFonts w:ascii="Arial" w:eastAsia="Times New Roman" w:hAnsi="Arial" w:cs="Arial"/>
          <w:b/>
          <w:color w:val="00000A"/>
          <w:sz w:val="20"/>
          <w:szCs w:val="20"/>
        </w:rPr>
      </w:pPr>
      <w:r w:rsidRPr="008719F7">
        <w:rPr>
          <w:rFonts w:ascii="Arial" w:eastAsia="Times New Roman" w:hAnsi="Arial" w:cs="Arial"/>
          <w:b/>
          <w:color w:val="00000A"/>
          <w:sz w:val="20"/>
          <w:szCs w:val="20"/>
        </w:rPr>
        <w:t xml:space="preserve">dotace </w:t>
      </w:r>
      <w:r w:rsidRPr="008719F7">
        <w:rPr>
          <w:rFonts w:ascii="Arial" w:eastAsia="Times New Roman" w:hAnsi="Arial" w:cs="Arial"/>
          <w:b/>
          <w:color w:val="00000A"/>
          <w:sz w:val="20"/>
          <w:szCs w:val="20"/>
          <w:shd w:val="clear" w:color="auto" w:fill="B7B7B7"/>
        </w:rPr>
        <w:t>zcela</w:t>
      </w:r>
      <w:r w:rsidRPr="008719F7">
        <w:rPr>
          <w:rFonts w:ascii="Arial" w:eastAsia="Times New Roman" w:hAnsi="Arial" w:cs="Arial"/>
          <w:b/>
          <w:color w:val="00000A"/>
          <w:sz w:val="20"/>
          <w:szCs w:val="20"/>
        </w:rPr>
        <w:t xml:space="preserve"> poskytuje.</w:t>
      </w:r>
    </w:p>
    <w:p w14:paraId="57DF187E" w14:textId="77777777" w:rsidR="00C82BE3" w:rsidRPr="008719F7" w:rsidRDefault="00C82BE3" w:rsidP="00C82BE3">
      <w:pPr>
        <w:spacing w:after="120" w:line="276" w:lineRule="auto"/>
        <w:ind w:left="720" w:hanging="720"/>
        <w:rPr>
          <w:rFonts w:ascii="Arial" w:eastAsia="Times New Roman" w:hAnsi="Arial" w:cs="Arial"/>
          <w:color w:val="00000A"/>
          <w:sz w:val="20"/>
          <w:szCs w:val="20"/>
        </w:rPr>
      </w:pPr>
    </w:p>
    <w:p w14:paraId="352B145B" w14:textId="08A3341F" w:rsidR="00656BEC" w:rsidRPr="008719F7" w:rsidRDefault="00C82BE3" w:rsidP="00BF5EE7">
      <w:pPr>
        <w:numPr>
          <w:ilvl w:val="0"/>
          <w:numId w:val="15"/>
        </w:numPr>
        <w:pBdr>
          <w:top w:val="nil"/>
          <w:left w:val="nil"/>
          <w:bottom w:val="nil"/>
          <w:right w:val="nil"/>
          <w:between w:val="nil"/>
        </w:pBdr>
        <w:spacing w:after="0" w:line="276" w:lineRule="auto"/>
        <w:ind w:left="720" w:hanging="720"/>
        <w:rPr>
          <w:rFonts w:ascii="Arial" w:eastAsia="Calibri" w:hAnsi="Arial" w:cs="Arial"/>
          <w:b/>
          <w:sz w:val="20"/>
          <w:szCs w:val="20"/>
        </w:rPr>
      </w:pPr>
      <w:r w:rsidRPr="008719F7">
        <w:rPr>
          <w:rFonts w:ascii="Arial" w:eastAsia="Times New Roman" w:hAnsi="Arial" w:cs="Arial"/>
          <w:b/>
          <w:color w:val="00000A"/>
          <w:sz w:val="20"/>
          <w:szCs w:val="20"/>
        </w:rPr>
        <w:t>Další podmínky poskytnutí dotace a náležitosti Rozhodnutí dle § 14 odst. 4 Rozpočtových pravidel jsou stanoveny takto:</w:t>
      </w:r>
    </w:p>
    <w:p w14:paraId="78134A26" w14:textId="77777777" w:rsidR="00F30EB3" w:rsidRPr="008719F7" w:rsidRDefault="00F30EB3" w:rsidP="00F30EB3">
      <w:pPr>
        <w:pBdr>
          <w:top w:val="nil"/>
          <w:left w:val="nil"/>
          <w:bottom w:val="nil"/>
          <w:right w:val="nil"/>
          <w:between w:val="nil"/>
        </w:pBdr>
        <w:spacing w:after="0" w:line="276" w:lineRule="auto"/>
        <w:ind w:left="720"/>
        <w:jc w:val="left"/>
        <w:rPr>
          <w:rFonts w:ascii="Arial" w:eastAsia="Calibri" w:hAnsi="Arial" w:cs="Arial"/>
          <w:b/>
          <w:sz w:val="20"/>
          <w:szCs w:val="20"/>
        </w:rPr>
      </w:pPr>
    </w:p>
    <w:p w14:paraId="2E109EBB" w14:textId="7FA6983B"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lastRenderedPageBreak/>
        <w:t>ČÁST I.</w:t>
      </w:r>
    </w:p>
    <w:p w14:paraId="4EA63763" w14:textId="77777777"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OBECNÉ VYMEZENÍ DOTACE</w:t>
      </w:r>
    </w:p>
    <w:p w14:paraId="59A7A76E" w14:textId="772D7E20" w:rsidR="009974F4" w:rsidRPr="008719F7" w:rsidRDefault="009974F4" w:rsidP="00995E23">
      <w:pPr>
        <w:keepNext/>
        <w:numPr>
          <w:ilvl w:val="0"/>
          <w:numId w:val="3"/>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Specifikace </w:t>
      </w:r>
      <w:r w:rsidR="0086323D" w:rsidRPr="008719F7">
        <w:rPr>
          <w:rFonts w:ascii="Arial" w:eastAsia="Calibri" w:hAnsi="Arial" w:cs="Arial"/>
          <w:b/>
          <w:color w:val="000000"/>
          <w:sz w:val="20"/>
          <w:szCs w:val="20"/>
        </w:rPr>
        <w:t>zapojení příjemce dotace (dále jen „Příjemce“) do Projekt</w:t>
      </w:r>
      <w:r w:rsidR="00531ADF" w:rsidRPr="008719F7">
        <w:rPr>
          <w:rFonts w:ascii="Arial" w:eastAsia="Calibri" w:hAnsi="Arial" w:cs="Arial"/>
          <w:b/>
          <w:color w:val="000000"/>
          <w:sz w:val="20"/>
          <w:szCs w:val="20"/>
        </w:rPr>
        <w:t>u</w:t>
      </w:r>
      <w:r w:rsidRPr="008719F7">
        <w:rPr>
          <w:rFonts w:ascii="Arial" w:eastAsia="Calibri" w:hAnsi="Arial" w:cs="Arial"/>
          <w:b/>
          <w:color w:val="000000"/>
          <w:sz w:val="20"/>
          <w:szCs w:val="20"/>
        </w:rPr>
        <w:t xml:space="preserve"> </w:t>
      </w:r>
    </w:p>
    <w:p w14:paraId="478C3F79" w14:textId="777CF720" w:rsidR="0086323D" w:rsidRPr="008719F7" w:rsidRDefault="0086323D"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zapojen do Projektu prostřednictvím svého zaměstnance/účastníka </w:t>
      </w:r>
      <w:r w:rsidR="00176428" w:rsidRPr="008719F7">
        <w:rPr>
          <w:rFonts w:ascii="Arial" w:eastAsia="Calibri" w:hAnsi="Arial" w:cs="Arial"/>
          <w:color w:val="000000"/>
          <w:sz w:val="20"/>
          <w:szCs w:val="20"/>
        </w:rPr>
        <w:t>P</w:t>
      </w:r>
      <w:r w:rsidRPr="008719F7">
        <w:rPr>
          <w:rFonts w:ascii="Arial" w:eastAsia="Calibri" w:hAnsi="Arial" w:cs="Arial"/>
          <w:color w:val="000000"/>
          <w:sz w:val="20"/>
          <w:szCs w:val="20"/>
        </w:rPr>
        <w:t>rojektu (dále jen „</w:t>
      </w:r>
      <w:r w:rsidR="00304CCB" w:rsidRPr="008719F7">
        <w:rPr>
          <w:rFonts w:ascii="Arial" w:eastAsia="Calibri" w:hAnsi="Arial" w:cs="Arial"/>
          <w:color w:val="000000"/>
          <w:sz w:val="20"/>
          <w:szCs w:val="20"/>
        </w:rPr>
        <w:t>účastník</w:t>
      </w:r>
      <w:r w:rsidR="00D477CC" w:rsidRPr="008719F7">
        <w:rPr>
          <w:rFonts w:ascii="Arial" w:eastAsia="Calibri" w:hAnsi="Arial" w:cs="Arial"/>
          <w:color w:val="000000"/>
          <w:sz w:val="20"/>
          <w:szCs w:val="20"/>
        </w:rPr>
        <w:t>“)</w:t>
      </w:r>
      <w:r w:rsidR="00176428"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který v rámci Projektu absolvuje specializační vzdělávání v oboru Dětská neurologie dle zákona č. 95/2004 Sb., o</w:t>
      </w:r>
      <w:r w:rsidR="00F31D8F" w:rsidRPr="008719F7">
        <w:rPr>
          <w:rFonts w:ascii="Arial" w:eastAsia="Calibri" w:hAnsi="Arial" w:cs="Arial"/>
          <w:color w:val="000000"/>
          <w:sz w:val="20"/>
          <w:szCs w:val="20"/>
        </w:rPr>
        <w:t> </w:t>
      </w:r>
      <w:r w:rsidRPr="008719F7">
        <w:rPr>
          <w:rFonts w:ascii="Arial" w:eastAsia="Calibri" w:hAnsi="Arial" w:cs="Arial"/>
          <w:color w:val="000000"/>
          <w:sz w:val="20"/>
          <w:szCs w:val="20"/>
        </w:rPr>
        <w:t>podmínkách získávání a</w:t>
      </w:r>
      <w:r w:rsidR="00A2179D" w:rsidRPr="008719F7">
        <w:rPr>
          <w:rFonts w:ascii="Arial" w:eastAsia="Calibri" w:hAnsi="Arial" w:cs="Arial"/>
          <w:color w:val="000000"/>
          <w:sz w:val="20"/>
          <w:szCs w:val="20"/>
        </w:rPr>
        <w:t> </w:t>
      </w:r>
      <w:r w:rsidRPr="008719F7">
        <w:rPr>
          <w:rFonts w:ascii="Arial" w:eastAsia="Calibri" w:hAnsi="Arial" w:cs="Arial"/>
          <w:color w:val="000000"/>
          <w:sz w:val="20"/>
          <w:szCs w:val="20"/>
        </w:rPr>
        <w:t>uznávání odborné způsobilosti a specializované způsobilosti k výkonu zdravotnického povolání lékaře, zubního lékaře a farmaceuta, ve znění pozdějších předpisů (dále jen „zákon č. 95/2004 Sb.“) za účelem prohlubování či zvyšování kvalifikace ve smyslu § 230 a násl. zákona č. 262/2006 Sb., zákoník práce, ve znění pozdějších předpisů.</w:t>
      </w:r>
      <w:r w:rsidR="00D477CC" w:rsidRPr="008719F7">
        <w:rPr>
          <w:rFonts w:ascii="Arial" w:eastAsia="Calibri" w:hAnsi="Arial" w:cs="Arial"/>
          <w:color w:val="000000"/>
          <w:sz w:val="20"/>
          <w:szCs w:val="20"/>
        </w:rPr>
        <w:t xml:space="preserve"> Údaje k </w:t>
      </w:r>
      <w:r w:rsidR="00304CCB" w:rsidRPr="008719F7">
        <w:rPr>
          <w:rFonts w:ascii="Arial" w:eastAsia="Calibri" w:hAnsi="Arial" w:cs="Arial"/>
          <w:color w:val="000000"/>
          <w:sz w:val="20"/>
          <w:szCs w:val="20"/>
        </w:rPr>
        <w:t>účastníku</w:t>
      </w:r>
      <w:r w:rsidR="00D477CC" w:rsidRPr="008719F7">
        <w:rPr>
          <w:rFonts w:ascii="Arial" w:eastAsia="Calibri" w:hAnsi="Arial" w:cs="Arial"/>
          <w:color w:val="000000"/>
          <w:sz w:val="20"/>
          <w:szCs w:val="20"/>
        </w:rPr>
        <w:t xml:space="preserve"> jsou uvedeny v příloze č. 1.</w:t>
      </w:r>
    </w:p>
    <w:p w14:paraId="6CD8AF12" w14:textId="77777777" w:rsidR="00176428" w:rsidRPr="008719F7" w:rsidRDefault="0086323D"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Specializační vzdělávání bude probíhat u lékařů zařazených do oboru specializačního vzdělávání do 30. 6. 2017 včetně podle „Vzdělávacího programu oboru Dětská neurologie“ zveřejněného ve Věstníku Ministerstva zdravotnictví České republiky, 2015, částka 5; u</w:t>
      </w:r>
      <w:r w:rsidR="00176428" w:rsidRPr="008719F7">
        <w:rPr>
          <w:rFonts w:ascii="Arial" w:eastAsia="Calibri" w:hAnsi="Arial" w:cs="Arial"/>
          <w:color w:val="000000"/>
          <w:sz w:val="20"/>
          <w:szCs w:val="20"/>
        </w:rPr>
        <w:t> </w:t>
      </w:r>
      <w:r w:rsidRPr="008719F7">
        <w:rPr>
          <w:rFonts w:ascii="Arial" w:eastAsia="Calibri" w:hAnsi="Arial" w:cs="Arial"/>
          <w:color w:val="000000"/>
          <w:sz w:val="20"/>
          <w:szCs w:val="20"/>
        </w:rPr>
        <w:t>lékařů zařazených do oboru specializačního vzdělávání od 1. 7. 2017 včetně podle „Vzdělávacího progr</w:t>
      </w:r>
      <w:bookmarkStart w:id="2" w:name="__DdeLink__556_212196528"/>
      <w:r w:rsidRPr="008719F7">
        <w:rPr>
          <w:rFonts w:ascii="Arial" w:eastAsia="Calibri" w:hAnsi="Arial" w:cs="Arial"/>
          <w:color w:val="000000"/>
          <w:sz w:val="20"/>
          <w:szCs w:val="20"/>
        </w:rPr>
        <w:t>amu specia</w:t>
      </w:r>
      <w:bookmarkEnd w:id="2"/>
      <w:r w:rsidRPr="008719F7">
        <w:rPr>
          <w:rFonts w:ascii="Arial" w:eastAsia="Calibri" w:hAnsi="Arial" w:cs="Arial"/>
          <w:color w:val="000000"/>
          <w:sz w:val="20"/>
          <w:szCs w:val="20"/>
        </w:rPr>
        <w:t>lizačního oboru dětská neurologie – vlastní specializovaný výcvik“ zveřejněného ve Věstníku Ministerstva zdravotnictví České republiky, 2018, částka 11.</w:t>
      </w:r>
    </w:p>
    <w:p w14:paraId="25B4DC5D" w14:textId="785EEDE0" w:rsidR="00176428" w:rsidRPr="008719F7" w:rsidRDefault="00176428"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Vzdělávacími aktivitami v souladu s Věstníkem Ministerstva zdravotnictví České republiky 2015, částka 5, s Věstníkem Ministerstva zdravotnictví České republiky 2018, částka 11 a s Projektem jsou následující kurzy a praxe (dále jen „Vzdělávací aktivity“)</w:t>
      </w:r>
      <w:r w:rsidRPr="008719F7">
        <w:rPr>
          <w:rStyle w:val="Znakapoznpodarou"/>
          <w:rFonts w:ascii="Arial" w:eastAsia="Times New Roman" w:hAnsi="Arial" w:cs="Arial"/>
          <w:color w:val="00000A"/>
          <w:sz w:val="20"/>
          <w:szCs w:val="20"/>
        </w:rPr>
        <w:footnoteReference w:id="2"/>
      </w:r>
      <w:r w:rsidRPr="008719F7">
        <w:rPr>
          <w:rFonts w:ascii="Arial" w:eastAsia="Calibri" w:hAnsi="Arial" w:cs="Arial"/>
          <w:color w:val="000000"/>
          <w:sz w:val="20"/>
          <w:szCs w:val="20"/>
        </w:rPr>
        <w:t>:</w:t>
      </w:r>
    </w:p>
    <w:p w14:paraId="2676B1BB" w14:textId="7B1E70A7"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KA1 </w:t>
      </w:r>
      <w:r w:rsidRPr="008719F7">
        <w:rPr>
          <w:rFonts w:ascii="Arial" w:hAnsi="Arial" w:cs="Arial"/>
          <w:color w:val="00000A"/>
          <w:sz w:val="20"/>
          <w:szCs w:val="20"/>
        </w:rPr>
        <w:t>–</w:t>
      </w:r>
      <w:r w:rsidRPr="008719F7">
        <w:rPr>
          <w:rFonts w:ascii="Arial" w:eastAsia="Calibri" w:hAnsi="Arial" w:cs="Arial"/>
          <w:color w:val="000000"/>
          <w:sz w:val="20"/>
          <w:szCs w:val="20"/>
        </w:rPr>
        <w:t xml:space="preserve"> Lékařská první pomoc (kurz)</w:t>
      </w:r>
      <w:r w:rsidR="00D477CC" w:rsidRPr="008719F7">
        <w:rPr>
          <w:rFonts w:ascii="Arial" w:eastAsia="Calibri" w:hAnsi="Arial" w:cs="Arial"/>
          <w:color w:val="000000"/>
          <w:sz w:val="20"/>
          <w:szCs w:val="20"/>
        </w:rPr>
        <w:t>;</w:t>
      </w:r>
    </w:p>
    <w:p w14:paraId="328D1386" w14:textId="59D4AF4D" w:rsidR="00176428" w:rsidRPr="008719F7" w:rsidRDefault="00176428" w:rsidP="00176428">
      <w:pPr>
        <w:pStyle w:val="Normlnweb"/>
        <w:spacing w:before="0" w:beforeAutospacing="0" w:after="120" w:afterAutospacing="0" w:line="276" w:lineRule="auto"/>
        <w:ind w:left="709"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KA2 </w:t>
      </w:r>
      <w:r w:rsidRPr="008719F7">
        <w:rPr>
          <w:rFonts w:ascii="Arial" w:hAnsi="Arial" w:cs="Arial"/>
          <w:color w:val="00000A"/>
          <w:sz w:val="20"/>
          <w:szCs w:val="20"/>
        </w:rPr>
        <w:t>–</w:t>
      </w:r>
      <w:r w:rsidRPr="008719F7">
        <w:rPr>
          <w:rFonts w:ascii="Arial" w:eastAsia="Calibri" w:hAnsi="Arial" w:cs="Arial"/>
          <w:color w:val="000000"/>
          <w:sz w:val="20"/>
          <w:szCs w:val="20"/>
        </w:rPr>
        <w:t xml:space="preserve"> Základy zdrav. legislativy, etiky a komunikace (kurz)</w:t>
      </w:r>
      <w:r w:rsidR="00D477CC" w:rsidRPr="008719F7">
        <w:rPr>
          <w:rFonts w:ascii="Arial" w:eastAsia="Calibri" w:hAnsi="Arial" w:cs="Arial"/>
          <w:color w:val="000000"/>
          <w:sz w:val="20"/>
          <w:szCs w:val="20"/>
        </w:rPr>
        <w:t>;</w:t>
      </w:r>
    </w:p>
    <w:p w14:paraId="6932C52F" w14:textId="4F5607E5"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KA3 </w:t>
      </w:r>
      <w:r w:rsidRPr="008719F7">
        <w:rPr>
          <w:rFonts w:ascii="Arial" w:hAnsi="Arial" w:cs="Arial"/>
          <w:color w:val="00000A"/>
          <w:sz w:val="20"/>
          <w:szCs w:val="20"/>
        </w:rPr>
        <w:t>–</w:t>
      </w:r>
      <w:r w:rsidRPr="008719F7">
        <w:rPr>
          <w:rFonts w:ascii="Arial" w:eastAsia="Calibri" w:hAnsi="Arial" w:cs="Arial"/>
          <w:color w:val="000000"/>
          <w:sz w:val="20"/>
          <w:szCs w:val="20"/>
        </w:rPr>
        <w:t xml:space="preserve"> Prevence škodlivého užívání návykových látek a léčba závislostí (kurz)</w:t>
      </w:r>
      <w:r w:rsidR="00D477CC" w:rsidRPr="008719F7">
        <w:rPr>
          <w:rFonts w:ascii="Arial" w:eastAsia="Calibri" w:hAnsi="Arial" w:cs="Arial"/>
          <w:color w:val="000000"/>
          <w:sz w:val="20"/>
          <w:szCs w:val="20"/>
        </w:rPr>
        <w:t>;</w:t>
      </w:r>
    </w:p>
    <w:p w14:paraId="5BC37D2E" w14:textId="3279BDC0"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KA4 </w:t>
      </w:r>
      <w:r w:rsidRPr="008719F7">
        <w:rPr>
          <w:rFonts w:ascii="Arial" w:hAnsi="Arial" w:cs="Arial"/>
          <w:color w:val="00000A"/>
          <w:sz w:val="20"/>
          <w:szCs w:val="20"/>
        </w:rPr>
        <w:t>–</w:t>
      </w:r>
      <w:r w:rsidRPr="008719F7">
        <w:rPr>
          <w:rFonts w:ascii="Arial" w:eastAsia="Calibri" w:hAnsi="Arial" w:cs="Arial"/>
          <w:color w:val="000000"/>
          <w:sz w:val="20"/>
          <w:szCs w:val="20"/>
        </w:rPr>
        <w:t xml:space="preserve"> Radiační ochrana (kurz)</w:t>
      </w:r>
      <w:r w:rsidR="00D477CC" w:rsidRPr="008719F7">
        <w:rPr>
          <w:rFonts w:ascii="Arial" w:eastAsia="Calibri" w:hAnsi="Arial" w:cs="Arial"/>
          <w:color w:val="000000"/>
          <w:sz w:val="20"/>
          <w:szCs w:val="20"/>
        </w:rPr>
        <w:t>;</w:t>
      </w:r>
    </w:p>
    <w:p w14:paraId="75A63722" w14:textId="03713543"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KA5 </w:t>
      </w:r>
      <w:r w:rsidRPr="008719F7">
        <w:rPr>
          <w:rFonts w:ascii="Arial" w:hAnsi="Arial" w:cs="Arial"/>
          <w:color w:val="00000A"/>
          <w:sz w:val="20"/>
          <w:szCs w:val="20"/>
        </w:rPr>
        <w:t>–</w:t>
      </w:r>
      <w:r w:rsidRPr="008719F7">
        <w:rPr>
          <w:rFonts w:ascii="Arial" w:eastAsia="Calibri" w:hAnsi="Arial" w:cs="Arial"/>
          <w:color w:val="000000"/>
          <w:sz w:val="20"/>
          <w:szCs w:val="20"/>
        </w:rPr>
        <w:t xml:space="preserve"> Novorozenecká a vývojová neurologie (kurz)</w:t>
      </w:r>
      <w:r w:rsidR="00D477CC" w:rsidRPr="008719F7">
        <w:rPr>
          <w:rFonts w:ascii="Arial" w:eastAsia="Calibri" w:hAnsi="Arial" w:cs="Arial"/>
          <w:color w:val="000000"/>
          <w:sz w:val="20"/>
          <w:szCs w:val="20"/>
        </w:rPr>
        <w:t>;</w:t>
      </w:r>
    </w:p>
    <w:p w14:paraId="049E0300" w14:textId="2914FBE5"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KA6 </w:t>
      </w:r>
      <w:r w:rsidRPr="008719F7">
        <w:rPr>
          <w:rFonts w:ascii="Arial" w:hAnsi="Arial" w:cs="Arial"/>
          <w:color w:val="00000A"/>
          <w:sz w:val="20"/>
          <w:szCs w:val="20"/>
        </w:rPr>
        <w:t>–</w:t>
      </w:r>
      <w:r w:rsidRPr="008719F7">
        <w:rPr>
          <w:rFonts w:ascii="Arial" w:eastAsia="Calibri" w:hAnsi="Arial" w:cs="Arial"/>
          <w:color w:val="000000"/>
          <w:sz w:val="20"/>
          <w:szCs w:val="20"/>
        </w:rPr>
        <w:t xml:space="preserve"> Nervosvalová a </w:t>
      </w:r>
      <w:proofErr w:type="spellStart"/>
      <w:r w:rsidRPr="008719F7">
        <w:rPr>
          <w:rFonts w:ascii="Arial" w:eastAsia="Calibri" w:hAnsi="Arial" w:cs="Arial"/>
          <w:color w:val="000000"/>
          <w:sz w:val="20"/>
          <w:szCs w:val="20"/>
        </w:rPr>
        <w:t>metabol</w:t>
      </w:r>
      <w:proofErr w:type="spellEnd"/>
      <w:r w:rsidRPr="008719F7">
        <w:rPr>
          <w:rFonts w:ascii="Arial" w:eastAsia="Calibri" w:hAnsi="Arial" w:cs="Arial"/>
          <w:color w:val="000000"/>
          <w:sz w:val="20"/>
          <w:szCs w:val="20"/>
        </w:rPr>
        <w:t>. onemocnění (kurz)</w:t>
      </w:r>
      <w:r w:rsidR="00D477CC" w:rsidRPr="008719F7">
        <w:rPr>
          <w:rFonts w:ascii="Arial" w:eastAsia="Calibri" w:hAnsi="Arial" w:cs="Arial"/>
          <w:color w:val="000000"/>
          <w:sz w:val="20"/>
          <w:szCs w:val="20"/>
        </w:rPr>
        <w:t>;</w:t>
      </w:r>
    </w:p>
    <w:p w14:paraId="3CE5BCFD" w14:textId="25104EA5"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KA7 </w:t>
      </w:r>
      <w:r w:rsidRPr="008719F7">
        <w:rPr>
          <w:rFonts w:ascii="Arial" w:hAnsi="Arial" w:cs="Arial"/>
          <w:color w:val="00000A"/>
          <w:sz w:val="20"/>
          <w:szCs w:val="20"/>
        </w:rPr>
        <w:t>–</w:t>
      </w:r>
      <w:r w:rsidRPr="008719F7">
        <w:rPr>
          <w:rFonts w:ascii="Arial" w:eastAsia="Calibri" w:hAnsi="Arial" w:cs="Arial"/>
          <w:color w:val="000000"/>
          <w:sz w:val="20"/>
          <w:szCs w:val="20"/>
        </w:rPr>
        <w:t xml:space="preserve"> </w:t>
      </w:r>
      <w:proofErr w:type="spellStart"/>
      <w:r w:rsidRPr="008719F7">
        <w:rPr>
          <w:rFonts w:ascii="Arial" w:eastAsia="Calibri" w:hAnsi="Arial" w:cs="Arial"/>
          <w:color w:val="000000"/>
          <w:sz w:val="20"/>
          <w:szCs w:val="20"/>
        </w:rPr>
        <w:t>Epileptologie</w:t>
      </w:r>
      <w:proofErr w:type="spellEnd"/>
      <w:r w:rsidRPr="008719F7">
        <w:rPr>
          <w:rFonts w:ascii="Arial" w:eastAsia="Calibri" w:hAnsi="Arial" w:cs="Arial"/>
          <w:color w:val="000000"/>
          <w:sz w:val="20"/>
          <w:szCs w:val="20"/>
        </w:rPr>
        <w:t>, poruchy spánku, zobrazovací metody (kurz)</w:t>
      </w:r>
      <w:r w:rsidR="00D477CC" w:rsidRPr="008719F7">
        <w:rPr>
          <w:rFonts w:ascii="Arial" w:eastAsia="Calibri" w:hAnsi="Arial" w:cs="Arial"/>
          <w:color w:val="000000"/>
          <w:sz w:val="20"/>
          <w:szCs w:val="20"/>
        </w:rPr>
        <w:t>;</w:t>
      </w:r>
    </w:p>
    <w:p w14:paraId="54901345" w14:textId="7DA5CA3B"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KA8 </w:t>
      </w:r>
      <w:r w:rsidRPr="008719F7">
        <w:rPr>
          <w:rFonts w:ascii="Arial" w:hAnsi="Arial" w:cs="Arial"/>
          <w:color w:val="00000A"/>
          <w:sz w:val="20"/>
          <w:szCs w:val="20"/>
        </w:rPr>
        <w:t>–</w:t>
      </w:r>
      <w:r w:rsidRPr="008719F7">
        <w:rPr>
          <w:rFonts w:ascii="Arial" w:eastAsia="Calibri" w:hAnsi="Arial" w:cs="Arial"/>
          <w:color w:val="000000"/>
          <w:sz w:val="20"/>
          <w:szCs w:val="20"/>
        </w:rPr>
        <w:t xml:space="preserve"> </w:t>
      </w:r>
      <w:proofErr w:type="spellStart"/>
      <w:r w:rsidRPr="008719F7">
        <w:rPr>
          <w:rFonts w:ascii="Arial" w:eastAsia="Calibri" w:hAnsi="Arial" w:cs="Arial"/>
          <w:color w:val="000000"/>
          <w:sz w:val="20"/>
          <w:szCs w:val="20"/>
        </w:rPr>
        <w:t>Movement</w:t>
      </w:r>
      <w:proofErr w:type="spellEnd"/>
      <w:r w:rsidRPr="008719F7">
        <w:rPr>
          <w:rFonts w:ascii="Arial" w:eastAsia="Calibri" w:hAnsi="Arial" w:cs="Arial"/>
          <w:color w:val="000000"/>
          <w:sz w:val="20"/>
          <w:szCs w:val="20"/>
        </w:rPr>
        <w:t xml:space="preserve"> </w:t>
      </w:r>
      <w:proofErr w:type="spellStart"/>
      <w:r w:rsidRPr="008719F7">
        <w:rPr>
          <w:rFonts w:ascii="Arial" w:eastAsia="Calibri" w:hAnsi="Arial" w:cs="Arial"/>
          <w:color w:val="000000"/>
          <w:sz w:val="20"/>
          <w:szCs w:val="20"/>
        </w:rPr>
        <w:t>disorders</w:t>
      </w:r>
      <w:proofErr w:type="spellEnd"/>
      <w:r w:rsidRPr="008719F7">
        <w:rPr>
          <w:rFonts w:ascii="Arial" w:eastAsia="Calibri" w:hAnsi="Arial" w:cs="Arial"/>
          <w:color w:val="000000"/>
          <w:sz w:val="20"/>
          <w:szCs w:val="20"/>
        </w:rPr>
        <w:t xml:space="preserve">, autoimunitní a infekční onemocnění, </w:t>
      </w:r>
      <w:proofErr w:type="spellStart"/>
      <w:r w:rsidRPr="008719F7">
        <w:rPr>
          <w:rFonts w:ascii="Arial" w:eastAsia="Calibri" w:hAnsi="Arial" w:cs="Arial"/>
          <w:color w:val="000000"/>
          <w:sz w:val="20"/>
          <w:szCs w:val="20"/>
        </w:rPr>
        <w:t>neurotrauma</w:t>
      </w:r>
      <w:proofErr w:type="spellEnd"/>
      <w:r w:rsidRPr="008719F7">
        <w:rPr>
          <w:rFonts w:ascii="Arial" w:eastAsia="Calibri" w:hAnsi="Arial" w:cs="Arial"/>
          <w:color w:val="000000"/>
          <w:sz w:val="20"/>
          <w:szCs w:val="20"/>
        </w:rPr>
        <w:t xml:space="preserve"> (kurz)</w:t>
      </w:r>
      <w:r w:rsidR="00D477CC" w:rsidRPr="008719F7">
        <w:rPr>
          <w:rFonts w:ascii="Arial" w:eastAsia="Calibri" w:hAnsi="Arial" w:cs="Arial"/>
          <w:color w:val="000000"/>
          <w:sz w:val="20"/>
          <w:szCs w:val="20"/>
        </w:rPr>
        <w:t>;</w:t>
      </w:r>
    </w:p>
    <w:p w14:paraId="36402458" w14:textId="5C4C45C6" w:rsidR="00176428" w:rsidRPr="008719F7" w:rsidRDefault="00176428" w:rsidP="00176428">
      <w:pPr>
        <w:pStyle w:val="Normlnweb"/>
        <w:spacing w:before="0" w:beforeAutospacing="0" w:after="120" w:afterAutospacing="0" w:line="276" w:lineRule="auto"/>
        <w:ind w:left="720" w:hanging="11"/>
        <w:contextualSpacing/>
        <w:rPr>
          <w:rFonts w:ascii="Arial" w:eastAsia="Calibri" w:hAnsi="Arial" w:cs="Arial"/>
          <w:color w:val="000000"/>
          <w:sz w:val="20"/>
          <w:szCs w:val="20"/>
        </w:rPr>
      </w:pPr>
      <w:r w:rsidRPr="008719F7">
        <w:rPr>
          <w:rFonts w:ascii="Arial" w:eastAsia="Calibri" w:hAnsi="Arial" w:cs="Arial"/>
          <w:color w:val="000000"/>
          <w:sz w:val="20"/>
          <w:szCs w:val="20"/>
        </w:rPr>
        <w:t xml:space="preserve">KA9 </w:t>
      </w:r>
      <w:r w:rsidRPr="008719F7">
        <w:rPr>
          <w:rFonts w:ascii="Arial" w:hAnsi="Arial" w:cs="Arial"/>
          <w:color w:val="00000A"/>
          <w:sz w:val="20"/>
          <w:szCs w:val="20"/>
        </w:rPr>
        <w:t>–</w:t>
      </w:r>
      <w:r w:rsidRPr="008719F7">
        <w:rPr>
          <w:rFonts w:ascii="Arial" w:eastAsia="Calibri" w:hAnsi="Arial" w:cs="Arial"/>
          <w:color w:val="000000"/>
          <w:sz w:val="20"/>
          <w:szCs w:val="20"/>
        </w:rPr>
        <w:t xml:space="preserve"> Akutní neurologie, neuropsychologie a neuropsychiatrie, </w:t>
      </w:r>
      <w:proofErr w:type="spellStart"/>
      <w:r w:rsidRPr="008719F7">
        <w:rPr>
          <w:rFonts w:ascii="Arial" w:eastAsia="Calibri" w:hAnsi="Arial" w:cs="Arial"/>
          <w:color w:val="000000"/>
          <w:sz w:val="20"/>
          <w:szCs w:val="20"/>
        </w:rPr>
        <w:t>neurorehabilitace</w:t>
      </w:r>
      <w:proofErr w:type="spellEnd"/>
      <w:r w:rsidRPr="008719F7">
        <w:rPr>
          <w:rFonts w:ascii="Arial" w:eastAsia="Calibri" w:hAnsi="Arial" w:cs="Arial"/>
          <w:color w:val="000000"/>
          <w:sz w:val="20"/>
          <w:szCs w:val="20"/>
        </w:rPr>
        <w:t>, základy klinické genetiky (kurz)</w:t>
      </w:r>
      <w:r w:rsidR="00D477CC" w:rsidRPr="008719F7">
        <w:rPr>
          <w:rFonts w:ascii="Arial" w:eastAsia="Calibri" w:hAnsi="Arial" w:cs="Arial"/>
          <w:color w:val="000000"/>
          <w:sz w:val="20"/>
          <w:szCs w:val="20"/>
        </w:rPr>
        <w:t>;</w:t>
      </w:r>
    </w:p>
    <w:p w14:paraId="55BF1B7C" w14:textId="751D9F02"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KA10 </w:t>
      </w:r>
      <w:r w:rsidRPr="008719F7">
        <w:rPr>
          <w:rFonts w:ascii="Arial" w:hAnsi="Arial" w:cs="Arial"/>
          <w:color w:val="00000A"/>
          <w:sz w:val="20"/>
          <w:szCs w:val="20"/>
        </w:rPr>
        <w:t>–</w:t>
      </w:r>
      <w:r w:rsidRPr="008719F7">
        <w:rPr>
          <w:rFonts w:ascii="Arial" w:eastAsia="Calibri" w:hAnsi="Arial" w:cs="Arial"/>
          <w:color w:val="000000"/>
          <w:sz w:val="20"/>
          <w:szCs w:val="20"/>
        </w:rPr>
        <w:t xml:space="preserve"> Dětská neurologie (praxe)</w:t>
      </w:r>
      <w:r w:rsidR="00D477CC" w:rsidRPr="008719F7">
        <w:rPr>
          <w:rFonts w:ascii="Arial" w:eastAsia="Calibri" w:hAnsi="Arial" w:cs="Arial"/>
          <w:color w:val="000000"/>
          <w:sz w:val="20"/>
          <w:szCs w:val="20"/>
        </w:rPr>
        <w:t>;</w:t>
      </w:r>
    </w:p>
    <w:p w14:paraId="1F8E43E2" w14:textId="0C6A0704"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KA11 </w:t>
      </w:r>
      <w:r w:rsidRPr="008719F7">
        <w:rPr>
          <w:rFonts w:ascii="Arial" w:hAnsi="Arial" w:cs="Arial"/>
          <w:color w:val="00000A"/>
          <w:sz w:val="20"/>
          <w:szCs w:val="20"/>
        </w:rPr>
        <w:t>–</w:t>
      </w:r>
      <w:r w:rsidRPr="008719F7">
        <w:rPr>
          <w:rFonts w:ascii="Arial" w:eastAsia="Calibri" w:hAnsi="Arial" w:cs="Arial"/>
          <w:color w:val="000000"/>
          <w:sz w:val="20"/>
          <w:szCs w:val="20"/>
        </w:rPr>
        <w:t xml:space="preserve"> Neurologie (praxe)</w:t>
      </w:r>
      <w:r w:rsidR="00D477CC" w:rsidRPr="008719F7">
        <w:rPr>
          <w:rFonts w:ascii="Arial" w:eastAsia="Calibri" w:hAnsi="Arial" w:cs="Arial"/>
          <w:color w:val="000000"/>
          <w:sz w:val="20"/>
          <w:szCs w:val="20"/>
        </w:rPr>
        <w:t>;</w:t>
      </w:r>
    </w:p>
    <w:p w14:paraId="2FCEF4CB" w14:textId="5A9BDE85"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KA12 </w:t>
      </w:r>
      <w:r w:rsidRPr="008719F7">
        <w:rPr>
          <w:rFonts w:ascii="Arial" w:hAnsi="Arial" w:cs="Arial"/>
          <w:color w:val="00000A"/>
          <w:sz w:val="20"/>
          <w:szCs w:val="20"/>
        </w:rPr>
        <w:t>–</w:t>
      </w:r>
      <w:r w:rsidRPr="008719F7">
        <w:rPr>
          <w:rFonts w:ascii="Arial" w:eastAsia="Calibri" w:hAnsi="Arial" w:cs="Arial"/>
          <w:color w:val="000000"/>
          <w:sz w:val="20"/>
          <w:szCs w:val="20"/>
        </w:rPr>
        <w:t xml:space="preserve"> Dětské lékařství / Pediatrie (praxe)</w:t>
      </w:r>
      <w:r w:rsidR="00D477CC" w:rsidRPr="008719F7">
        <w:rPr>
          <w:rFonts w:ascii="Arial" w:eastAsia="Calibri" w:hAnsi="Arial" w:cs="Arial"/>
          <w:color w:val="000000"/>
          <w:sz w:val="20"/>
          <w:szCs w:val="20"/>
        </w:rPr>
        <w:t>;</w:t>
      </w:r>
    </w:p>
    <w:p w14:paraId="3191D25C" w14:textId="28B48BC1" w:rsidR="00176428" w:rsidRPr="008719F7" w:rsidRDefault="00176428" w:rsidP="00176428">
      <w:pPr>
        <w:pStyle w:val="Normlnweb"/>
        <w:spacing w:before="0" w:beforeAutospacing="0" w:after="120" w:afterAutospacing="0" w:line="276" w:lineRule="auto"/>
        <w:ind w:left="720" w:hanging="11"/>
        <w:contextualSpacing/>
        <w:jc w:val="both"/>
        <w:rPr>
          <w:rFonts w:ascii="Arial" w:eastAsia="Calibri" w:hAnsi="Arial" w:cs="Arial"/>
          <w:color w:val="000000"/>
          <w:sz w:val="20"/>
          <w:szCs w:val="20"/>
        </w:rPr>
      </w:pPr>
      <w:r w:rsidRPr="008719F7">
        <w:rPr>
          <w:rFonts w:ascii="Arial" w:eastAsia="Calibri" w:hAnsi="Arial" w:cs="Arial"/>
          <w:color w:val="000000"/>
          <w:sz w:val="20"/>
          <w:szCs w:val="20"/>
        </w:rPr>
        <w:t xml:space="preserve">KA13 </w:t>
      </w:r>
      <w:r w:rsidRPr="008719F7">
        <w:rPr>
          <w:rFonts w:ascii="Arial" w:hAnsi="Arial" w:cs="Arial"/>
          <w:color w:val="00000A"/>
          <w:sz w:val="20"/>
          <w:szCs w:val="20"/>
        </w:rPr>
        <w:t>–</w:t>
      </w:r>
      <w:r w:rsidRPr="008719F7">
        <w:rPr>
          <w:rFonts w:ascii="Arial" w:eastAsia="Calibri" w:hAnsi="Arial" w:cs="Arial"/>
          <w:color w:val="000000"/>
          <w:sz w:val="20"/>
          <w:szCs w:val="20"/>
        </w:rPr>
        <w:t xml:space="preserve"> Dětská a dorostová psychiatrie (praxe)</w:t>
      </w:r>
      <w:r w:rsidR="00D477CC" w:rsidRPr="008719F7">
        <w:rPr>
          <w:rFonts w:ascii="Arial" w:eastAsia="Calibri" w:hAnsi="Arial" w:cs="Arial"/>
          <w:color w:val="000000"/>
          <w:sz w:val="20"/>
          <w:szCs w:val="20"/>
        </w:rPr>
        <w:t>.</w:t>
      </w:r>
    </w:p>
    <w:p w14:paraId="40BC5720" w14:textId="00C8A490" w:rsidR="0054767C" w:rsidRPr="008719F7" w:rsidRDefault="00D62C7D"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w:t>
      </w:r>
      <w:r w:rsidR="0054767C" w:rsidRPr="008719F7">
        <w:rPr>
          <w:rFonts w:ascii="Arial" w:eastAsia="Calibri" w:hAnsi="Arial" w:cs="Arial"/>
          <w:color w:val="000000"/>
          <w:sz w:val="20"/>
          <w:szCs w:val="20"/>
        </w:rPr>
        <w:t xml:space="preserve">umožňuje zapojení </w:t>
      </w:r>
      <w:r w:rsidR="00304CCB" w:rsidRPr="008719F7">
        <w:rPr>
          <w:rFonts w:ascii="Arial" w:eastAsia="Calibri" w:hAnsi="Arial" w:cs="Arial"/>
          <w:color w:val="000000"/>
          <w:sz w:val="20"/>
          <w:szCs w:val="20"/>
        </w:rPr>
        <w:t>účastníka</w:t>
      </w:r>
      <w:r w:rsidR="0054767C" w:rsidRPr="008719F7">
        <w:rPr>
          <w:rFonts w:ascii="Arial" w:eastAsia="Calibri" w:hAnsi="Arial" w:cs="Arial"/>
          <w:color w:val="000000"/>
          <w:sz w:val="20"/>
          <w:szCs w:val="20"/>
        </w:rPr>
        <w:t xml:space="preserve"> do Projektu tím, že: </w:t>
      </w:r>
    </w:p>
    <w:p w14:paraId="40DA3D69" w14:textId="7A84A695" w:rsidR="00D62C7D" w:rsidRPr="008719F7" w:rsidRDefault="00D62C7D" w:rsidP="00995E23">
      <w:pPr>
        <w:pStyle w:val="Odstavecseseznamem"/>
        <w:numPr>
          <w:ilvl w:val="0"/>
          <w:numId w:val="13"/>
        </w:numPr>
        <w:pBdr>
          <w:top w:val="nil"/>
          <w:left w:val="nil"/>
          <w:bottom w:val="nil"/>
          <w:right w:val="nil"/>
          <w:between w:val="nil"/>
        </w:pBdr>
        <w:spacing w:after="120" w:line="276" w:lineRule="auto"/>
        <w:ind w:hanging="720"/>
        <w:contextualSpacing w:val="0"/>
        <w:rPr>
          <w:rFonts w:ascii="Arial" w:eastAsia="Calibri" w:hAnsi="Arial" w:cs="Arial"/>
          <w:color w:val="000000"/>
          <w:sz w:val="20"/>
          <w:szCs w:val="20"/>
        </w:rPr>
      </w:pPr>
      <w:r w:rsidRPr="008719F7">
        <w:rPr>
          <w:rFonts w:ascii="Arial" w:eastAsia="Calibri" w:hAnsi="Arial" w:cs="Arial"/>
          <w:color w:val="000000"/>
          <w:sz w:val="20"/>
          <w:szCs w:val="20"/>
        </w:rPr>
        <w:t xml:space="preserve">vyplácí </w:t>
      </w:r>
      <w:r w:rsidR="00304CCB" w:rsidRPr="008719F7">
        <w:rPr>
          <w:rFonts w:ascii="Arial" w:eastAsia="Calibri" w:hAnsi="Arial" w:cs="Arial"/>
          <w:color w:val="000000"/>
          <w:sz w:val="20"/>
          <w:szCs w:val="20"/>
        </w:rPr>
        <w:t>účastníku</w:t>
      </w:r>
      <w:r w:rsidRPr="008719F7">
        <w:rPr>
          <w:rFonts w:ascii="Arial" w:eastAsia="Calibri" w:hAnsi="Arial" w:cs="Arial"/>
          <w:color w:val="000000"/>
          <w:sz w:val="20"/>
          <w:szCs w:val="20"/>
        </w:rPr>
        <w:t xml:space="preserve"> po dobu jeho účasti na Vzdělávacích aktivitách mzdu/plat či náhradu mzdy/platu v souladu s pracovněprávními předpisy</w:t>
      </w:r>
      <w:r w:rsidR="0054767C"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w:t>
      </w:r>
    </w:p>
    <w:p w14:paraId="23981F55" w14:textId="407DCB1F" w:rsidR="00D62C7D" w:rsidRPr="008719F7" w:rsidRDefault="0054767C" w:rsidP="00995E23">
      <w:pPr>
        <w:pStyle w:val="Odstavecseseznamem"/>
        <w:numPr>
          <w:ilvl w:val="0"/>
          <w:numId w:val="13"/>
        </w:numPr>
        <w:pBdr>
          <w:top w:val="nil"/>
          <w:left w:val="nil"/>
          <w:bottom w:val="nil"/>
          <w:right w:val="nil"/>
          <w:between w:val="nil"/>
        </w:pBdr>
        <w:spacing w:after="120" w:line="276" w:lineRule="auto"/>
        <w:ind w:hanging="720"/>
        <w:contextualSpacing w:val="0"/>
        <w:rPr>
          <w:rFonts w:ascii="Arial" w:eastAsia="Calibri" w:hAnsi="Arial" w:cs="Arial"/>
          <w:color w:val="000000"/>
          <w:sz w:val="20"/>
          <w:szCs w:val="20"/>
        </w:rPr>
      </w:pPr>
      <w:r w:rsidRPr="008719F7">
        <w:rPr>
          <w:rFonts w:ascii="Arial" w:eastAsia="Calibri" w:hAnsi="Arial" w:cs="Arial"/>
          <w:color w:val="000000"/>
          <w:sz w:val="20"/>
          <w:szCs w:val="20"/>
        </w:rPr>
        <w:lastRenderedPageBreak/>
        <w:t>vysílá</w:t>
      </w:r>
      <w:r w:rsidR="00D62C7D" w:rsidRPr="008719F7">
        <w:rPr>
          <w:rFonts w:ascii="Arial" w:eastAsia="Calibri" w:hAnsi="Arial" w:cs="Arial"/>
          <w:color w:val="000000"/>
          <w:sz w:val="20"/>
          <w:szCs w:val="20"/>
        </w:rPr>
        <w:t xml:space="preserve"> </w:t>
      </w:r>
      <w:r w:rsidR="00304CCB" w:rsidRPr="008719F7">
        <w:rPr>
          <w:rFonts w:ascii="Arial" w:eastAsia="Calibri" w:hAnsi="Arial" w:cs="Arial"/>
          <w:color w:val="000000"/>
          <w:sz w:val="20"/>
          <w:szCs w:val="20"/>
        </w:rPr>
        <w:t>účastníka</w:t>
      </w:r>
      <w:r w:rsidR="00D62C7D" w:rsidRPr="008719F7">
        <w:rPr>
          <w:rFonts w:ascii="Arial" w:eastAsia="Calibri" w:hAnsi="Arial" w:cs="Arial"/>
          <w:color w:val="000000"/>
          <w:sz w:val="20"/>
          <w:szCs w:val="20"/>
        </w:rPr>
        <w:t xml:space="preserve"> na pracovní cesty podle zákoníku práce (u </w:t>
      </w:r>
      <w:r w:rsidR="00304CCB" w:rsidRPr="008719F7">
        <w:rPr>
          <w:rFonts w:ascii="Arial" w:eastAsia="Calibri" w:hAnsi="Arial" w:cs="Arial"/>
          <w:color w:val="000000"/>
          <w:sz w:val="20"/>
          <w:szCs w:val="20"/>
        </w:rPr>
        <w:t>účastníka</w:t>
      </w:r>
      <w:r w:rsidR="00D62C7D" w:rsidRPr="008719F7">
        <w:rPr>
          <w:rFonts w:ascii="Arial" w:eastAsia="Calibri" w:hAnsi="Arial" w:cs="Arial"/>
          <w:color w:val="000000"/>
          <w:sz w:val="20"/>
          <w:szCs w:val="20"/>
        </w:rPr>
        <w:t>, který si prohlubuje kvalifikaci)</w:t>
      </w:r>
      <w:r w:rsidRPr="008719F7">
        <w:rPr>
          <w:rFonts w:ascii="Arial" w:eastAsia="Calibri" w:hAnsi="Arial" w:cs="Arial"/>
          <w:color w:val="000000"/>
          <w:sz w:val="20"/>
          <w:szCs w:val="20"/>
        </w:rPr>
        <w:t xml:space="preserve"> nebo </w:t>
      </w:r>
      <w:r w:rsidR="00D62C7D" w:rsidRPr="008719F7">
        <w:rPr>
          <w:rFonts w:ascii="Arial" w:eastAsia="Calibri" w:hAnsi="Arial" w:cs="Arial"/>
          <w:color w:val="000000"/>
          <w:sz w:val="20"/>
          <w:szCs w:val="20"/>
        </w:rPr>
        <w:t xml:space="preserve">umožní </w:t>
      </w:r>
      <w:r w:rsidR="00304CCB" w:rsidRPr="008719F7">
        <w:rPr>
          <w:rFonts w:ascii="Arial" w:eastAsia="Calibri" w:hAnsi="Arial" w:cs="Arial"/>
          <w:color w:val="000000"/>
          <w:sz w:val="20"/>
          <w:szCs w:val="20"/>
        </w:rPr>
        <w:t>účastníku</w:t>
      </w:r>
      <w:r w:rsidR="00D62C7D" w:rsidRPr="008719F7">
        <w:rPr>
          <w:rFonts w:ascii="Arial" w:eastAsia="Calibri" w:hAnsi="Arial" w:cs="Arial"/>
          <w:color w:val="000000"/>
          <w:sz w:val="20"/>
          <w:szCs w:val="20"/>
        </w:rPr>
        <w:t xml:space="preserve"> po dobu účasti na Vzdělávacích aktivitách čerpat pracovní volno s náhradou mzdy/platu (u </w:t>
      </w:r>
      <w:r w:rsidR="00304CCB" w:rsidRPr="008719F7">
        <w:rPr>
          <w:rFonts w:ascii="Arial" w:eastAsia="Calibri" w:hAnsi="Arial" w:cs="Arial"/>
          <w:color w:val="000000"/>
          <w:sz w:val="20"/>
          <w:szCs w:val="20"/>
        </w:rPr>
        <w:t>účastníka</w:t>
      </w:r>
      <w:r w:rsidR="00D62C7D" w:rsidRPr="008719F7">
        <w:rPr>
          <w:rFonts w:ascii="Arial" w:eastAsia="Calibri" w:hAnsi="Arial" w:cs="Arial"/>
          <w:color w:val="000000"/>
          <w:sz w:val="20"/>
          <w:szCs w:val="20"/>
        </w:rPr>
        <w:t>, který si zvyšuje kvalifikaci)</w:t>
      </w:r>
      <w:r w:rsidRPr="008719F7">
        <w:rPr>
          <w:rFonts w:ascii="Arial" w:eastAsia="Calibri" w:hAnsi="Arial" w:cs="Arial"/>
          <w:color w:val="000000"/>
          <w:sz w:val="20"/>
          <w:szCs w:val="20"/>
        </w:rPr>
        <w:t>;</w:t>
      </w:r>
    </w:p>
    <w:p w14:paraId="018C2872" w14:textId="01C908C4" w:rsidR="0054767C" w:rsidRPr="008719F7" w:rsidRDefault="0054767C" w:rsidP="00995E23">
      <w:pPr>
        <w:pStyle w:val="Odstavecseseznamem"/>
        <w:numPr>
          <w:ilvl w:val="0"/>
          <w:numId w:val="13"/>
        </w:numPr>
        <w:pBdr>
          <w:top w:val="nil"/>
          <w:left w:val="nil"/>
          <w:bottom w:val="nil"/>
          <w:right w:val="nil"/>
          <w:between w:val="nil"/>
        </w:pBdr>
        <w:spacing w:after="120" w:line="276" w:lineRule="auto"/>
        <w:ind w:hanging="720"/>
        <w:contextualSpacing w:val="0"/>
        <w:rPr>
          <w:rFonts w:ascii="Arial" w:eastAsia="Calibri" w:hAnsi="Arial" w:cs="Arial"/>
          <w:color w:val="000000"/>
          <w:sz w:val="20"/>
          <w:szCs w:val="20"/>
        </w:rPr>
      </w:pPr>
      <w:r w:rsidRPr="008719F7">
        <w:rPr>
          <w:rFonts w:ascii="Arial" w:eastAsia="Calibri" w:hAnsi="Arial" w:cs="Arial"/>
          <w:color w:val="000000"/>
          <w:sz w:val="20"/>
          <w:szCs w:val="20"/>
        </w:rPr>
        <w:t>hradí náklady na Vzdělávací aktivity (</w:t>
      </w:r>
      <w:r w:rsidR="00C62720" w:rsidRPr="008719F7">
        <w:rPr>
          <w:rFonts w:ascii="Arial" w:eastAsia="Calibri" w:hAnsi="Arial" w:cs="Arial"/>
          <w:color w:val="000000"/>
          <w:sz w:val="20"/>
          <w:szCs w:val="20"/>
        </w:rPr>
        <w:t>náklady na kurzy a praxe).</w:t>
      </w:r>
      <w:r w:rsidRPr="008719F7">
        <w:rPr>
          <w:rFonts w:ascii="Arial" w:eastAsia="Calibri" w:hAnsi="Arial" w:cs="Arial"/>
          <w:color w:val="000000"/>
          <w:sz w:val="20"/>
          <w:szCs w:val="20"/>
        </w:rPr>
        <w:t xml:space="preserve"> </w:t>
      </w:r>
    </w:p>
    <w:p w14:paraId="3C34ACB5" w14:textId="77777777" w:rsidR="0044107A" w:rsidRPr="008719F7" w:rsidRDefault="0044107A" w:rsidP="000948B4">
      <w:pPr>
        <w:spacing w:after="120" w:line="276" w:lineRule="auto"/>
        <w:contextualSpacing/>
        <w:rPr>
          <w:rFonts w:ascii="Arial" w:eastAsia="Calibri" w:hAnsi="Arial" w:cs="Arial"/>
          <w:sz w:val="20"/>
          <w:szCs w:val="20"/>
        </w:rPr>
      </w:pPr>
    </w:p>
    <w:p w14:paraId="2E46EBE2" w14:textId="77777777" w:rsidR="009974F4" w:rsidRPr="008719F7" w:rsidRDefault="009974F4" w:rsidP="00995E23">
      <w:pPr>
        <w:keepNext/>
        <w:numPr>
          <w:ilvl w:val="0"/>
          <w:numId w:val="3"/>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Výše dotace </w:t>
      </w:r>
    </w:p>
    <w:p w14:paraId="6BC6F7EC" w14:textId="77777777" w:rsidR="00BF5EE7" w:rsidRPr="008719F7" w:rsidRDefault="00BF5EE7" w:rsidP="00BF5EE7">
      <w:pPr>
        <w:pStyle w:val="Odstavecseseznamem"/>
        <w:numPr>
          <w:ilvl w:val="0"/>
          <w:numId w:val="2"/>
        </w:numPr>
        <w:pBdr>
          <w:top w:val="nil"/>
          <w:left w:val="nil"/>
          <w:bottom w:val="nil"/>
          <w:right w:val="nil"/>
          <w:between w:val="nil"/>
        </w:pBdr>
        <w:spacing w:after="120" w:line="276" w:lineRule="auto"/>
        <w:contextualSpacing w:val="0"/>
        <w:rPr>
          <w:rFonts w:ascii="Arial" w:eastAsia="Calibri" w:hAnsi="Arial" w:cs="Arial"/>
          <w:vanish/>
          <w:color w:val="000000"/>
          <w:sz w:val="20"/>
          <w:szCs w:val="20"/>
        </w:rPr>
      </w:pPr>
    </w:p>
    <w:p w14:paraId="3CB343D9" w14:textId="6DA19B12" w:rsidR="00291847" w:rsidRPr="008719F7" w:rsidRDefault="009974F4" w:rsidP="00BF5EE7">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Dotace může být poskytnuta až do výše </w:t>
      </w:r>
      <w:r w:rsidR="00471D38" w:rsidRPr="008719F7">
        <w:rPr>
          <w:rFonts w:ascii="Arial" w:eastAsia="Calibri" w:hAnsi="Arial" w:cs="Arial"/>
          <w:color w:val="000000"/>
          <w:sz w:val="20"/>
          <w:szCs w:val="20"/>
          <w:highlight w:val="lightGray"/>
        </w:rPr>
        <w:t>XY</w:t>
      </w:r>
      <w:r w:rsidRPr="008719F7">
        <w:rPr>
          <w:rFonts w:ascii="Arial" w:eastAsia="Calibri" w:hAnsi="Arial" w:cs="Arial"/>
          <w:color w:val="000000"/>
          <w:sz w:val="20"/>
          <w:szCs w:val="20"/>
        </w:rPr>
        <w:t xml:space="preserve"> Kč.</w:t>
      </w:r>
    </w:p>
    <w:p w14:paraId="101E079E" w14:textId="2B844B2F" w:rsidR="009974F4" w:rsidRPr="008719F7" w:rsidRDefault="009974F4"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Dotace je poskytována na úhradu výdajů, </w:t>
      </w:r>
      <w:r w:rsidR="00291847" w:rsidRPr="008719F7">
        <w:rPr>
          <w:rFonts w:ascii="Arial" w:eastAsia="Calibri" w:hAnsi="Arial" w:cs="Arial"/>
          <w:color w:val="000000"/>
          <w:sz w:val="20"/>
          <w:szCs w:val="20"/>
        </w:rPr>
        <w:t>které jsou nezbytné pro plnění účelu dotace uvedeného v části I.</w:t>
      </w:r>
      <w:r w:rsidR="00790599" w:rsidRPr="008719F7">
        <w:rPr>
          <w:rFonts w:ascii="Arial" w:eastAsia="Calibri" w:hAnsi="Arial" w:cs="Arial"/>
          <w:color w:val="000000"/>
          <w:sz w:val="20"/>
          <w:szCs w:val="20"/>
        </w:rPr>
        <w:t>, bod 3.</w:t>
      </w:r>
      <w:r w:rsidR="00291847" w:rsidRPr="008719F7">
        <w:rPr>
          <w:rFonts w:ascii="Arial" w:eastAsia="Calibri" w:hAnsi="Arial" w:cs="Arial"/>
          <w:color w:val="000000"/>
          <w:sz w:val="20"/>
          <w:szCs w:val="20"/>
        </w:rPr>
        <w:t xml:space="preserve"> tohoto Rozhodnutí a zároveň jsou způsobilými výdaji dle Metodiky Programu </w:t>
      </w:r>
      <w:r w:rsidR="00176428" w:rsidRPr="008719F7">
        <w:rPr>
          <w:rFonts w:ascii="Arial" w:eastAsia="Calibri" w:hAnsi="Arial" w:cs="Arial"/>
          <w:color w:val="000000"/>
          <w:sz w:val="20"/>
          <w:szCs w:val="20"/>
        </w:rPr>
        <w:t>specializačního vzdělávání v oboru dětská neurologie</w:t>
      </w:r>
      <w:r w:rsidR="00291847" w:rsidRPr="008719F7">
        <w:rPr>
          <w:rFonts w:ascii="Arial" w:eastAsia="Calibri" w:hAnsi="Arial" w:cs="Arial"/>
          <w:color w:val="000000"/>
          <w:sz w:val="20"/>
          <w:szCs w:val="20"/>
        </w:rPr>
        <w:t>.</w:t>
      </w:r>
      <w:r w:rsidR="00291847" w:rsidRPr="008719F7">
        <w:rPr>
          <w:rFonts w:ascii="Arial" w:eastAsia="Times New Roman" w:hAnsi="Arial" w:cs="Arial"/>
          <w:color w:val="000000"/>
          <w:sz w:val="20"/>
          <w:szCs w:val="20"/>
        </w:rPr>
        <w:t xml:space="preserve"> </w:t>
      </w:r>
    </w:p>
    <w:p w14:paraId="69F93B52" w14:textId="77777777" w:rsidR="009974F4" w:rsidRPr="008719F7" w:rsidRDefault="009974F4"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Konečná výše dotace, poskytnutá Příjemci na základě tohoto Rozhodnutí, je stanovena na základě skutečně vzniklých, odůvodněných a řádně prokázaných výdajů. </w:t>
      </w:r>
    </w:p>
    <w:p w14:paraId="2DD5FB7C" w14:textId="77777777" w:rsidR="00176428" w:rsidRPr="008719F7" w:rsidRDefault="009974F4"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V případě, že skutečná výše způsobilých výdajů bude nižší než celková výše dotace, bude </w:t>
      </w:r>
      <w:r w:rsidR="00471D38" w:rsidRPr="008719F7">
        <w:rPr>
          <w:rFonts w:ascii="Arial" w:eastAsia="Calibri" w:hAnsi="Arial" w:cs="Arial"/>
          <w:color w:val="000000"/>
          <w:sz w:val="20"/>
          <w:szCs w:val="20"/>
        </w:rPr>
        <w:t>P</w:t>
      </w:r>
      <w:r w:rsidRPr="008719F7">
        <w:rPr>
          <w:rFonts w:ascii="Arial" w:eastAsia="Calibri" w:hAnsi="Arial" w:cs="Arial"/>
          <w:color w:val="000000"/>
          <w:sz w:val="20"/>
          <w:szCs w:val="20"/>
        </w:rPr>
        <w:t xml:space="preserve">říjemci proplacena pouze částka skutečné výše způsobilých výdajů. </w:t>
      </w:r>
    </w:p>
    <w:p w14:paraId="682A938A" w14:textId="387F9FFA" w:rsidR="009974F4" w:rsidRPr="008719F7" w:rsidRDefault="009974F4" w:rsidP="00995E23">
      <w:pPr>
        <w:numPr>
          <w:ilvl w:val="1"/>
          <w:numId w:val="2"/>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V případě, že skutečná výše výdajů, které jsou nezbytné pro plnění účelu dotace uvedeného v části I., bod 3</w:t>
      </w:r>
      <w:r w:rsidR="002A01E7"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tohoto Rozhodnutí bude vyšší než poskytnutá celková dotace, je Příjemce povinen uhradit rozdíl z vlastních zdrojů</w:t>
      </w:r>
    </w:p>
    <w:p w14:paraId="79104891" w14:textId="77777777" w:rsidR="00291847" w:rsidRPr="008719F7" w:rsidRDefault="00291847" w:rsidP="00291847">
      <w:pPr>
        <w:keepNext/>
        <w:pBdr>
          <w:top w:val="nil"/>
          <w:left w:val="nil"/>
          <w:bottom w:val="nil"/>
          <w:right w:val="nil"/>
          <w:between w:val="nil"/>
        </w:pBdr>
        <w:spacing w:after="120" w:line="276" w:lineRule="auto"/>
        <w:ind w:left="360"/>
        <w:contextualSpacing/>
        <w:rPr>
          <w:rFonts w:ascii="Arial" w:eastAsia="Calibri" w:hAnsi="Arial" w:cs="Arial"/>
          <w:color w:val="000000"/>
          <w:sz w:val="20"/>
          <w:szCs w:val="20"/>
        </w:rPr>
      </w:pPr>
    </w:p>
    <w:p w14:paraId="446B0AFF" w14:textId="77777777" w:rsidR="009974F4" w:rsidRPr="008719F7" w:rsidRDefault="009974F4" w:rsidP="00995E23">
      <w:pPr>
        <w:keepNext/>
        <w:numPr>
          <w:ilvl w:val="0"/>
          <w:numId w:val="3"/>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Účel dotace</w:t>
      </w:r>
    </w:p>
    <w:p w14:paraId="5991A7C2" w14:textId="03A3222F" w:rsidR="009974F4" w:rsidRPr="008719F7" w:rsidRDefault="009974F4" w:rsidP="000948B4">
      <w:p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Calibri" w:hAnsi="Arial" w:cs="Arial"/>
          <w:color w:val="000000"/>
          <w:sz w:val="20"/>
          <w:szCs w:val="20"/>
        </w:rPr>
        <w:t xml:space="preserve">Účelem dotace je </w:t>
      </w:r>
      <w:r w:rsidR="000C163D" w:rsidRPr="008719F7">
        <w:rPr>
          <w:rFonts w:ascii="Arial" w:eastAsia="Calibri" w:hAnsi="Arial" w:cs="Arial"/>
          <w:color w:val="000000"/>
          <w:sz w:val="20"/>
          <w:szCs w:val="20"/>
        </w:rPr>
        <w:t>podpora</w:t>
      </w:r>
      <w:r w:rsidRPr="008719F7">
        <w:rPr>
          <w:rFonts w:ascii="Arial" w:eastAsia="Calibri" w:hAnsi="Arial" w:cs="Arial"/>
          <w:color w:val="000000"/>
          <w:sz w:val="20"/>
          <w:szCs w:val="20"/>
        </w:rPr>
        <w:t xml:space="preserve"> účasti </w:t>
      </w:r>
      <w:r w:rsidR="00304CCB" w:rsidRPr="008719F7">
        <w:rPr>
          <w:rFonts w:ascii="Arial" w:eastAsia="Calibri" w:hAnsi="Arial" w:cs="Arial"/>
          <w:color w:val="000000"/>
          <w:sz w:val="20"/>
          <w:szCs w:val="20"/>
        </w:rPr>
        <w:t>účastníka</w:t>
      </w:r>
      <w:r w:rsidRPr="008719F7">
        <w:rPr>
          <w:rFonts w:ascii="Arial" w:eastAsia="Calibri" w:hAnsi="Arial" w:cs="Arial"/>
          <w:color w:val="000000"/>
          <w:sz w:val="20"/>
          <w:szCs w:val="20"/>
        </w:rPr>
        <w:t xml:space="preserve"> na Vzdělávacích aktivitách</w:t>
      </w:r>
      <w:r w:rsidR="00D93DC5" w:rsidRPr="008719F7">
        <w:rPr>
          <w:rFonts w:ascii="Arial" w:eastAsia="Calibri" w:hAnsi="Arial" w:cs="Arial"/>
          <w:color w:val="000000"/>
          <w:sz w:val="20"/>
          <w:szCs w:val="20"/>
        </w:rPr>
        <w:t xml:space="preserve"> </w:t>
      </w:r>
      <w:r w:rsidRPr="008719F7">
        <w:rPr>
          <w:rFonts w:ascii="Arial" w:eastAsia="Calibri" w:hAnsi="Arial" w:cs="Arial"/>
          <w:color w:val="000000"/>
          <w:sz w:val="20"/>
          <w:szCs w:val="20"/>
        </w:rPr>
        <w:t>dle Individuální</w:t>
      </w:r>
      <w:r w:rsidR="000C163D" w:rsidRPr="008719F7">
        <w:rPr>
          <w:rFonts w:ascii="Arial" w:eastAsia="Calibri" w:hAnsi="Arial" w:cs="Arial"/>
          <w:color w:val="000000"/>
          <w:sz w:val="20"/>
          <w:szCs w:val="20"/>
        </w:rPr>
        <w:t>ho</w:t>
      </w:r>
      <w:r w:rsidRPr="008719F7">
        <w:rPr>
          <w:rFonts w:ascii="Arial" w:eastAsia="Calibri" w:hAnsi="Arial" w:cs="Arial"/>
          <w:color w:val="000000"/>
          <w:sz w:val="20"/>
          <w:szCs w:val="20"/>
        </w:rPr>
        <w:t xml:space="preserve"> vzdělávac</w:t>
      </w:r>
      <w:r w:rsidR="000C163D" w:rsidRPr="008719F7">
        <w:rPr>
          <w:rFonts w:ascii="Arial" w:eastAsia="Calibri" w:hAnsi="Arial" w:cs="Arial"/>
          <w:color w:val="000000"/>
          <w:sz w:val="20"/>
          <w:szCs w:val="20"/>
        </w:rPr>
        <w:t>ího</w:t>
      </w:r>
      <w:r w:rsidRPr="008719F7">
        <w:rPr>
          <w:rFonts w:ascii="Arial" w:eastAsia="Calibri" w:hAnsi="Arial" w:cs="Arial"/>
          <w:color w:val="000000"/>
          <w:sz w:val="20"/>
          <w:szCs w:val="20"/>
        </w:rPr>
        <w:t xml:space="preserve"> plán</w:t>
      </w:r>
      <w:r w:rsidR="000C163D" w:rsidRPr="008719F7">
        <w:rPr>
          <w:rFonts w:ascii="Arial" w:eastAsia="Calibri" w:hAnsi="Arial" w:cs="Arial"/>
          <w:color w:val="000000"/>
          <w:sz w:val="20"/>
          <w:szCs w:val="20"/>
        </w:rPr>
        <w:t>u</w:t>
      </w:r>
      <w:r w:rsidRPr="008719F7">
        <w:rPr>
          <w:rFonts w:ascii="Arial" w:eastAsia="Calibri" w:hAnsi="Arial" w:cs="Arial"/>
          <w:color w:val="000000"/>
          <w:sz w:val="20"/>
          <w:szCs w:val="20"/>
        </w:rPr>
        <w:t xml:space="preserve"> </w:t>
      </w:r>
      <w:r w:rsidR="00304CCB" w:rsidRPr="008719F7">
        <w:rPr>
          <w:rFonts w:ascii="Arial" w:eastAsia="Calibri" w:hAnsi="Arial" w:cs="Arial"/>
          <w:color w:val="000000"/>
          <w:sz w:val="20"/>
          <w:szCs w:val="20"/>
        </w:rPr>
        <w:t>účastníka</w:t>
      </w:r>
      <w:r w:rsidR="00291847" w:rsidRPr="008719F7">
        <w:rPr>
          <w:rFonts w:ascii="Arial" w:eastAsia="Calibri" w:hAnsi="Arial" w:cs="Arial"/>
          <w:color w:val="000000"/>
          <w:sz w:val="20"/>
          <w:szCs w:val="20"/>
        </w:rPr>
        <w:t xml:space="preserve"> v projektu </w:t>
      </w:r>
      <w:r w:rsidR="001B44CD" w:rsidRPr="008719F7">
        <w:rPr>
          <w:rFonts w:ascii="Arial" w:eastAsia="Calibri" w:hAnsi="Arial" w:cs="Arial"/>
          <w:color w:val="000000"/>
          <w:sz w:val="20"/>
          <w:szCs w:val="20"/>
        </w:rPr>
        <w:t>„Specializační vzdělávání v oboru dětská neurologie</w:t>
      </w:r>
      <w:r w:rsidR="00176428" w:rsidRPr="008719F7">
        <w:rPr>
          <w:rFonts w:ascii="Arial" w:eastAsia="Calibri" w:hAnsi="Arial" w:cs="Arial"/>
          <w:color w:val="000000"/>
          <w:sz w:val="20"/>
          <w:szCs w:val="20"/>
        </w:rPr>
        <w:t>“</w:t>
      </w:r>
      <w:r w:rsidR="001B44CD" w:rsidRPr="008719F7">
        <w:rPr>
          <w:rFonts w:ascii="Arial" w:eastAsia="Calibri" w:hAnsi="Arial" w:cs="Arial"/>
          <w:color w:val="000000"/>
          <w:sz w:val="20"/>
          <w:szCs w:val="20"/>
        </w:rPr>
        <w:t>.</w:t>
      </w:r>
    </w:p>
    <w:p w14:paraId="43DDB67C" w14:textId="77777777" w:rsidR="009974F4" w:rsidRPr="008719F7" w:rsidRDefault="009974F4" w:rsidP="000948B4">
      <w:pPr>
        <w:pBdr>
          <w:top w:val="nil"/>
          <w:left w:val="nil"/>
          <w:bottom w:val="nil"/>
          <w:right w:val="nil"/>
          <w:between w:val="nil"/>
        </w:pBdr>
        <w:spacing w:after="120" w:line="276" w:lineRule="auto"/>
        <w:ind w:left="357"/>
        <w:contextualSpacing/>
        <w:rPr>
          <w:rFonts w:ascii="Arial" w:eastAsia="Calibri" w:hAnsi="Arial" w:cs="Arial"/>
          <w:color w:val="000000"/>
          <w:sz w:val="20"/>
          <w:szCs w:val="20"/>
        </w:rPr>
      </w:pPr>
    </w:p>
    <w:p w14:paraId="2BAE9A4D" w14:textId="5EA68804" w:rsidR="009974F4" w:rsidRPr="008719F7" w:rsidRDefault="009974F4" w:rsidP="00995E23">
      <w:pPr>
        <w:keepNext/>
        <w:numPr>
          <w:ilvl w:val="0"/>
          <w:numId w:val="3"/>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Lhůta, v níž má být dosaženo účelu</w:t>
      </w:r>
      <w:r w:rsidR="001F2C32" w:rsidRPr="008719F7">
        <w:rPr>
          <w:rFonts w:ascii="Arial" w:eastAsia="Calibri" w:hAnsi="Arial" w:cs="Arial"/>
          <w:b/>
          <w:color w:val="000000"/>
          <w:sz w:val="20"/>
          <w:szCs w:val="20"/>
        </w:rPr>
        <w:t xml:space="preserve"> dotace</w:t>
      </w:r>
    </w:p>
    <w:p w14:paraId="2337F2FF" w14:textId="77777777" w:rsidR="00EE03B8" w:rsidRPr="008719F7" w:rsidRDefault="00EE03B8" w:rsidP="00BD54B3">
      <w:pPr>
        <w:spacing w:after="120" w:line="276" w:lineRule="auto"/>
        <w:contextualSpacing/>
        <w:jc w:val="left"/>
        <w:rPr>
          <w:rFonts w:ascii="Arial" w:eastAsia="Calibri" w:hAnsi="Arial" w:cs="Arial"/>
          <w:sz w:val="20"/>
          <w:szCs w:val="20"/>
        </w:rPr>
      </w:pPr>
      <w:r w:rsidRPr="008719F7">
        <w:rPr>
          <w:rFonts w:ascii="Arial" w:eastAsia="Calibri" w:hAnsi="Arial" w:cs="Arial"/>
          <w:sz w:val="20"/>
          <w:szCs w:val="20"/>
        </w:rPr>
        <w:t xml:space="preserve">Účelu dotace musí být dosaženo ve lhůtě: </w:t>
      </w:r>
    </w:p>
    <w:p w14:paraId="64623AFC" w14:textId="210A3765" w:rsidR="002C59CE" w:rsidRPr="008719F7" w:rsidRDefault="00291847" w:rsidP="000948B4">
      <w:pPr>
        <w:spacing w:after="120" w:line="276" w:lineRule="auto"/>
        <w:contextualSpacing/>
        <w:jc w:val="left"/>
        <w:rPr>
          <w:rFonts w:ascii="Arial" w:eastAsia="Calibri" w:hAnsi="Arial" w:cs="Arial"/>
          <w:sz w:val="20"/>
          <w:szCs w:val="20"/>
        </w:rPr>
      </w:pPr>
      <w:r w:rsidRPr="008719F7">
        <w:rPr>
          <w:rFonts w:ascii="Arial" w:eastAsia="Calibri" w:hAnsi="Arial" w:cs="Arial"/>
          <w:sz w:val="20"/>
          <w:szCs w:val="20"/>
        </w:rPr>
        <w:t xml:space="preserve">Datum zahájení </w:t>
      </w:r>
      <w:r w:rsidR="00D477CC" w:rsidRPr="008719F7">
        <w:rPr>
          <w:rFonts w:ascii="Arial" w:eastAsia="Calibri" w:hAnsi="Arial" w:cs="Arial"/>
          <w:sz w:val="20"/>
          <w:szCs w:val="20"/>
        </w:rPr>
        <w:t>(nejdříve)</w:t>
      </w:r>
      <w:r w:rsidR="009974F4" w:rsidRPr="008719F7">
        <w:rPr>
          <w:rFonts w:ascii="Arial" w:eastAsia="Calibri" w:hAnsi="Arial" w:cs="Arial"/>
          <w:sz w:val="20"/>
          <w:szCs w:val="20"/>
        </w:rPr>
        <w:t>:</w:t>
      </w:r>
      <w:r w:rsidR="003569F9" w:rsidRPr="008719F7">
        <w:rPr>
          <w:rFonts w:ascii="Arial" w:eastAsia="Calibri" w:hAnsi="Arial" w:cs="Arial"/>
          <w:sz w:val="20"/>
          <w:szCs w:val="20"/>
        </w:rPr>
        <w:t xml:space="preserve"> </w:t>
      </w:r>
      <w:r w:rsidR="009974F4" w:rsidRPr="008719F7">
        <w:rPr>
          <w:rFonts w:ascii="Arial" w:eastAsia="Calibri" w:hAnsi="Arial" w:cs="Arial"/>
          <w:sz w:val="20"/>
          <w:szCs w:val="20"/>
        </w:rPr>
        <w:t xml:space="preserve">1. </w:t>
      </w:r>
      <w:r w:rsidR="000C163D" w:rsidRPr="008719F7">
        <w:rPr>
          <w:rFonts w:ascii="Arial" w:eastAsia="Calibri" w:hAnsi="Arial" w:cs="Arial"/>
          <w:sz w:val="20"/>
          <w:szCs w:val="20"/>
        </w:rPr>
        <w:t>1</w:t>
      </w:r>
      <w:r w:rsidR="009974F4" w:rsidRPr="008719F7">
        <w:rPr>
          <w:rFonts w:ascii="Arial" w:eastAsia="Calibri" w:hAnsi="Arial" w:cs="Arial"/>
          <w:sz w:val="20"/>
          <w:szCs w:val="20"/>
        </w:rPr>
        <w:t xml:space="preserve">. </w:t>
      </w:r>
      <w:r w:rsidR="000C163D" w:rsidRPr="008719F7">
        <w:rPr>
          <w:rFonts w:ascii="Arial" w:eastAsia="Calibri" w:hAnsi="Arial" w:cs="Arial"/>
          <w:sz w:val="20"/>
          <w:szCs w:val="20"/>
        </w:rPr>
        <w:t>2020</w:t>
      </w:r>
      <w:r w:rsidR="009974F4" w:rsidRPr="008719F7">
        <w:rPr>
          <w:rFonts w:ascii="Arial" w:eastAsia="Calibri" w:hAnsi="Arial" w:cs="Arial"/>
          <w:sz w:val="20"/>
          <w:szCs w:val="20"/>
        </w:rPr>
        <w:t xml:space="preserve"> </w:t>
      </w:r>
    </w:p>
    <w:p w14:paraId="2ED24801" w14:textId="384E4A26" w:rsidR="000B4CC9" w:rsidRPr="008719F7" w:rsidRDefault="00291847" w:rsidP="000948B4">
      <w:pPr>
        <w:spacing w:after="120" w:line="276" w:lineRule="auto"/>
        <w:contextualSpacing/>
        <w:jc w:val="left"/>
        <w:rPr>
          <w:rFonts w:ascii="Arial" w:eastAsia="Calibri" w:hAnsi="Arial" w:cs="Arial"/>
          <w:sz w:val="20"/>
          <w:szCs w:val="20"/>
        </w:rPr>
      </w:pPr>
      <w:r w:rsidRPr="008719F7">
        <w:rPr>
          <w:rFonts w:ascii="Arial" w:eastAsia="Calibri" w:hAnsi="Arial" w:cs="Arial"/>
          <w:sz w:val="20"/>
          <w:szCs w:val="20"/>
        </w:rPr>
        <w:t>Datum ukončení specializačního vzdělávání</w:t>
      </w:r>
      <w:r w:rsidR="00D477CC" w:rsidRPr="008719F7">
        <w:rPr>
          <w:rFonts w:ascii="Arial" w:eastAsia="Calibri" w:hAnsi="Arial" w:cs="Arial"/>
          <w:sz w:val="20"/>
          <w:szCs w:val="20"/>
        </w:rPr>
        <w:t xml:space="preserve"> (nejpozději)</w:t>
      </w:r>
      <w:r w:rsidR="009974F4" w:rsidRPr="008719F7">
        <w:rPr>
          <w:rFonts w:ascii="Arial" w:eastAsia="Calibri" w:hAnsi="Arial" w:cs="Arial"/>
          <w:sz w:val="20"/>
          <w:szCs w:val="20"/>
        </w:rPr>
        <w:t>: 3</w:t>
      </w:r>
      <w:r w:rsidR="000C163D" w:rsidRPr="008719F7">
        <w:rPr>
          <w:rFonts w:ascii="Arial" w:eastAsia="Calibri" w:hAnsi="Arial" w:cs="Arial"/>
          <w:sz w:val="20"/>
          <w:szCs w:val="20"/>
        </w:rPr>
        <w:t>1</w:t>
      </w:r>
      <w:r w:rsidR="009974F4" w:rsidRPr="008719F7">
        <w:rPr>
          <w:rFonts w:ascii="Arial" w:eastAsia="Calibri" w:hAnsi="Arial" w:cs="Arial"/>
          <w:sz w:val="20"/>
          <w:szCs w:val="20"/>
        </w:rPr>
        <w:t xml:space="preserve">. </w:t>
      </w:r>
      <w:r w:rsidR="000C163D" w:rsidRPr="008719F7">
        <w:rPr>
          <w:rFonts w:ascii="Arial" w:eastAsia="Calibri" w:hAnsi="Arial" w:cs="Arial"/>
          <w:sz w:val="20"/>
          <w:szCs w:val="20"/>
        </w:rPr>
        <w:t>8</w:t>
      </w:r>
      <w:r w:rsidR="009974F4" w:rsidRPr="008719F7">
        <w:rPr>
          <w:rFonts w:ascii="Arial" w:eastAsia="Calibri" w:hAnsi="Arial" w:cs="Arial"/>
          <w:sz w:val="20"/>
          <w:szCs w:val="20"/>
        </w:rPr>
        <w:t>. 202</w:t>
      </w:r>
      <w:r w:rsidR="000C163D" w:rsidRPr="008719F7">
        <w:rPr>
          <w:rFonts w:ascii="Arial" w:eastAsia="Calibri" w:hAnsi="Arial" w:cs="Arial"/>
          <w:sz w:val="20"/>
          <w:szCs w:val="20"/>
        </w:rPr>
        <w:t>2</w:t>
      </w:r>
    </w:p>
    <w:p w14:paraId="2E7F6D45" w14:textId="77777777" w:rsidR="00BF5EE7" w:rsidRPr="008719F7" w:rsidRDefault="00BF5EE7" w:rsidP="000948B4">
      <w:pPr>
        <w:spacing w:after="120" w:line="276" w:lineRule="auto"/>
        <w:contextualSpacing/>
        <w:jc w:val="left"/>
        <w:rPr>
          <w:rFonts w:ascii="Arial" w:eastAsia="Calibri" w:hAnsi="Arial" w:cs="Arial"/>
          <w:sz w:val="20"/>
          <w:szCs w:val="20"/>
        </w:rPr>
      </w:pPr>
    </w:p>
    <w:p w14:paraId="7CDB4012" w14:textId="5590D1FF" w:rsidR="009974F4" w:rsidRPr="008719F7" w:rsidRDefault="009974F4" w:rsidP="00BF5EE7">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ČÁST II.</w:t>
      </w:r>
    </w:p>
    <w:p w14:paraId="67C89622" w14:textId="5DA2CF86"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POVINNOSTI PŘÍJEMCE</w:t>
      </w:r>
    </w:p>
    <w:p w14:paraId="3C740EA2" w14:textId="77777777" w:rsidR="00291847" w:rsidRPr="008719F7" w:rsidRDefault="00291847" w:rsidP="00BF5EE7">
      <w:pPr>
        <w:keepNext/>
        <w:numPr>
          <w:ilvl w:val="0"/>
          <w:numId w:val="19"/>
        </w:numPr>
        <w:pBdr>
          <w:top w:val="nil"/>
          <w:left w:val="nil"/>
          <w:bottom w:val="nil"/>
          <w:right w:val="nil"/>
          <w:between w:val="nil"/>
        </w:pBdr>
        <w:spacing w:after="120" w:line="276" w:lineRule="auto"/>
        <w:rPr>
          <w:rFonts w:ascii="Arial" w:eastAsia="Calibri" w:hAnsi="Arial" w:cs="Arial"/>
          <w:b/>
          <w:color w:val="000000"/>
          <w:sz w:val="20"/>
          <w:szCs w:val="20"/>
        </w:rPr>
      </w:pPr>
      <w:r w:rsidRPr="008719F7">
        <w:rPr>
          <w:rFonts w:ascii="Arial" w:eastAsia="Calibri" w:hAnsi="Arial" w:cs="Arial"/>
          <w:b/>
          <w:color w:val="000000"/>
          <w:sz w:val="20"/>
          <w:szCs w:val="20"/>
        </w:rPr>
        <w:t xml:space="preserve">Užití dotace </w:t>
      </w:r>
    </w:p>
    <w:p w14:paraId="4B62399D" w14:textId="1A4172B8" w:rsidR="00291847" w:rsidRPr="008719F7" w:rsidRDefault="00291847" w:rsidP="00790599">
      <w:pPr>
        <w:pBdr>
          <w:top w:val="nil"/>
          <w:left w:val="nil"/>
          <w:bottom w:val="nil"/>
          <w:right w:val="nil"/>
          <w:between w:val="nil"/>
        </w:pBdr>
        <w:spacing w:after="120" w:line="276" w:lineRule="auto"/>
        <w:rPr>
          <w:rFonts w:ascii="Arial" w:eastAsia="Calibri" w:hAnsi="Arial" w:cs="Arial"/>
          <w:sz w:val="20"/>
          <w:szCs w:val="20"/>
        </w:rPr>
      </w:pPr>
      <w:r w:rsidRPr="008719F7">
        <w:rPr>
          <w:rFonts w:ascii="Arial" w:eastAsia="Calibri" w:hAnsi="Arial" w:cs="Arial"/>
          <w:sz w:val="20"/>
          <w:szCs w:val="20"/>
        </w:rPr>
        <w:t xml:space="preserve">Při použití dotace je Příjemce povinen dodržovat podmínky stanovené v Pravidlech </w:t>
      </w:r>
      <w:r w:rsidR="00176428" w:rsidRPr="008719F7">
        <w:rPr>
          <w:rFonts w:ascii="Arial" w:eastAsia="Calibri" w:hAnsi="Arial" w:cs="Arial"/>
          <w:sz w:val="20"/>
          <w:szCs w:val="20"/>
        </w:rPr>
        <w:t>s</w:t>
      </w:r>
      <w:r w:rsidR="001B44CD" w:rsidRPr="008719F7">
        <w:rPr>
          <w:rFonts w:ascii="Arial" w:eastAsia="Calibri" w:hAnsi="Arial" w:cs="Arial"/>
          <w:sz w:val="20"/>
          <w:szCs w:val="20"/>
        </w:rPr>
        <w:t>pecializační</w:t>
      </w:r>
      <w:r w:rsidR="00176428" w:rsidRPr="008719F7">
        <w:rPr>
          <w:rFonts w:ascii="Arial" w:eastAsia="Calibri" w:hAnsi="Arial" w:cs="Arial"/>
          <w:sz w:val="20"/>
          <w:szCs w:val="20"/>
        </w:rPr>
        <w:t>ho</w:t>
      </w:r>
      <w:r w:rsidR="001B44CD" w:rsidRPr="008719F7">
        <w:rPr>
          <w:rFonts w:ascii="Arial" w:eastAsia="Calibri" w:hAnsi="Arial" w:cs="Arial"/>
          <w:sz w:val="20"/>
          <w:szCs w:val="20"/>
        </w:rPr>
        <w:t xml:space="preserve"> vzdělávání v oboru dětská neurologie </w:t>
      </w:r>
      <w:r w:rsidRPr="008719F7">
        <w:rPr>
          <w:rFonts w:ascii="Arial" w:eastAsia="Calibri" w:hAnsi="Arial" w:cs="Arial"/>
          <w:sz w:val="20"/>
          <w:szCs w:val="20"/>
        </w:rPr>
        <w:t xml:space="preserve">(dále jen „Pravidla“), kterými jsou: </w:t>
      </w:r>
    </w:p>
    <w:p w14:paraId="124910EF" w14:textId="0262E3B9" w:rsidR="00291847" w:rsidRPr="008719F7" w:rsidRDefault="00291847" w:rsidP="00995E23">
      <w:pPr>
        <w:numPr>
          <w:ilvl w:val="0"/>
          <w:numId w:val="16"/>
        </w:numPr>
        <w:pBdr>
          <w:top w:val="nil"/>
          <w:left w:val="nil"/>
          <w:bottom w:val="nil"/>
          <w:right w:val="nil"/>
          <w:between w:val="nil"/>
        </w:pBdr>
        <w:spacing w:after="0" w:line="300" w:lineRule="auto"/>
        <w:rPr>
          <w:rFonts w:ascii="Arial" w:eastAsia="Times New Roman" w:hAnsi="Arial" w:cs="Arial"/>
          <w:color w:val="00000A"/>
          <w:sz w:val="20"/>
          <w:szCs w:val="20"/>
        </w:rPr>
      </w:pPr>
      <w:r w:rsidRPr="008719F7">
        <w:rPr>
          <w:rFonts w:ascii="Arial" w:eastAsia="Times New Roman" w:hAnsi="Arial" w:cs="Arial"/>
          <w:color w:val="00000A"/>
          <w:sz w:val="20"/>
          <w:szCs w:val="20"/>
        </w:rPr>
        <w:t xml:space="preserve">Výzva k předkládání žádostí o dotaci v Programu </w:t>
      </w:r>
      <w:r w:rsidR="001B44CD" w:rsidRPr="008719F7">
        <w:rPr>
          <w:rFonts w:ascii="Arial" w:eastAsia="Times New Roman" w:hAnsi="Arial" w:cs="Arial"/>
          <w:color w:val="00000A"/>
          <w:sz w:val="20"/>
          <w:szCs w:val="20"/>
        </w:rPr>
        <w:t>specializačního vzdělávání v</w:t>
      </w:r>
      <w:r w:rsidR="00A2179D" w:rsidRPr="008719F7">
        <w:rPr>
          <w:rFonts w:ascii="Arial" w:eastAsia="Times New Roman" w:hAnsi="Arial" w:cs="Arial"/>
          <w:color w:val="00000A"/>
          <w:sz w:val="20"/>
          <w:szCs w:val="20"/>
        </w:rPr>
        <w:t> </w:t>
      </w:r>
      <w:r w:rsidR="001B44CD" w:rsidRPr="008719F7">
        <w:rPr>
          <w:rFonts w:ascii="Arial" w:eastAsia="Times New Roman" w:hAnsi="Arial" w:cs="Arial"/>
          <w:color w:val="00000A"/>
          <w:sz w:val="20"/>
          <w:szCs w:val="20"/>
        </w:rPr>
        <w:t xml:space="preserve">oboru dětská neurologie </w:t>
      </w:r>
      <w:r w:rsidRPr="008719F7">
        <w:rPr>
          <w:rFonts w:ascii="Arial" w:eastAsia="Times New Roman" w:hAnsi="Arial" w:cs="Arial"/>
          <w:color w:val="00000A"/>
          <w:sz w:val="20"/>
          <w:szCs w:val="20"/>
        </w:rPr>
        <w:t xml:space="preserve">uveřejněná dne </w:t>
      </w:r>
      <w:proofErr w:type="spellStart"/>
      <w:r w:rsidR="001B44CD" w:rsidRPr="008719F7">
        <w:rPr>
          <w:rFonts w:ascii="Arial" w:eastAsia="Times New Roman" w:hAnsi="Arial" w:cs="Arial"/>
          <w:color w:val="00000A"/>
          <w:sz w:val="20"/>
          <w:szCs w:val="20"/>
          <w:highlight w:val="lightGray"/>
        </w:rPr>
        <w:t>xx</w:t>
      </w:r>
      <w:proofErr w:type="spellEnd"/>
      <w:r w:rsidRPr="008719F7">
        <w:rPr>
          <w:rFonts w:ascii="Arial" w:eastAsia="Times New Roman" w:hAnsi="Arial" w:cs="Arial"/>
          <w:color w:val="00000A"/>
          <w:sz w:val="20"/>
          <w:szCs w:val="20"/>
          <w:highlight w:val="lightGray"/>
        </w:rPr>
        <w:t xml:space="preserve">. </w:t>
      </w:r>
      <w:proofErr w:type="spellStart"/>
      <w:r w:rsidR="001B44CD" w:rsidRPr="008719F7">
        <w:rPr>
          <w:rFonts w:ascii="Arial" w:eastAsia="Times New Roman" w:hAnsi="Arial" w:cs="Arial"/>
          <w:color w:val="00000A"/>
          <w:sz w:val="20"/>
          <w:szCs w:val="20"/>
          <w:highlight w:val="lightGray"/>
        </w:rPr>
        <w:t>xxx</w:t>
      </w:r>
      <w:proofErr w:type="spellEnd"/>
      <w:r w:rsidRPr="008719F7">
        <w:rPr>
          <w:rFonts w:ascii="Arial" w:eastAsia="Times New Roman" w:hAnsi="Arial" w:cs="Arial"/>
          <w:color w:val="00000A"/>
          <w:sz w:val="20"/>
          <w:szCs w:val="20"/>
          <w:highlight w:val="lightGray"/>
        </w:rPr>
        <w:t>.</w:t>
      </w:r>
      <w:r w:rsidR="00E56845" w:rsidRPr="008719F7">
        <w:rPr>
          <w:rFonts w:ascii="Arial" w:eastAsia="Times New Roman" w:hAnsi="Arial" w:cs="Arial"/>
          <w:color w:val="00000A"/>
          <w:sz w:val="20"/>
          <w:szCs w:val="20"/>
          <w:highlight w:val="lightGray"/>
        </w:rPr>
        <w:t xml:space="preserve"> </w:t>
      </w:r>
      <w:r w:rsidRPr="008719F7">
        <w:rPr>
          <w:rFonts w:ascii="Arial" w:eastAsia="Times New Roman" w:hAnsi="Arial" w:cs="Arial"/>
          <w:color w:val="00000A"/>
          <w:sz w:val="20"/>
          <w:szCs w:val="20"/>
          <w:highlight w:val="lightGray"/>
        </w:rPr>
        <w:t>20</w:t>
      </w:r>
      <w:r w:rsidR="001B44CD" w:rsidRPr="008719F7">
        <w:rPr>
          <w:rFonts w:ascii="Arial" w:eastAsia="Times New Roman" w:hAnsi="Arial" w:cs="Arial"/>
          <w:color w:val="00000A"/>
          <w:sz w:val="20"/>
          <w:szCs w:val="20"/>
          <w:highlight w:val="lightGray"/>
        </w:rPr>
        <w:t>20</w:t>
      </w:r>
      <w:r w:rsidR="00176428" w:rsidRPr="008719F7">
        <w:rPr>
          <w:rFonts w:ascii="Arial" w:eastAsia="Times New Roman" w:hAnsi="Arial" w:cs="Arial"/>
          <w:color w:val="00000A"/>
          <w:sz w:val="20"/>
          <w:szCs w:val="20"/>
        </w:rPr>
        <w:t>;</w:t>
      </w:r>
    </w:p>
    <w:p w14:paraId="181B4C96" w14:textId="7EB59DB7" w:rsidR="00291847" w:rsidRPr="008719F7" w:rsidRDefault="00291847" w:rsidP="00995E23">
      <w:pPr>
        <w:numPr>
          <w:ilvl w:val="0"/>
          <w:numId w:val="16"/>
        </w:numPr>
        <w:pBdr>
          <w:top w:val="nil"/>
          <w:left w:val="nil"/>
          <w:bottom w:val="nil"/>
          <w:right w:val="nil"/>
          <w:between w:val="nil"/>
        </w:pBdr>
        <w:spacing w:after="0" w:line="300" w:lineRule="auto"/>
        <w:rPr>
          <w:rFonts w:ascii="Arial" w:eastAsia="Times New Roman" w:hAnsi="Arial" w:cs="Arial"/>
          <w:color w:val="00000A"/>
          <w:sz w:val="20"/>
          <w:szCs w:val="20"/>
        </w:rPr>
      </w:pPr>
      <w:r w:rsidRPr="008719F7">
        <w:rPr>
          <w:rFonts w:ascii="Arial" w:eastAsia="Times New Roman" w:hAnsi="Arial" w:cs="Arial"/>
          <w:color w:val="00000A"/>
          <w:sz w:val="20"/>
          <w:szCs w:val="20"/>
        </w:rPr>
        <w:t xml:space="preserve">Příloha č. 1 Výzvy k předkládání žádostí o dotaci </w:t>
      </w:r>
      <w:r w:rsidR="00D477CC" w:rsidRPr="008719F7">
        <w:rPr>
          <w:rFonts w:ascii="Arial" w:eastAsia="Times New Roman" w:hAnsi="Arial" w:cs="Arial"/>
          <w:color w:val="00000A"/>
          <w:sz w:val="20"/>
          <w:szCs w:val="20"/>
        </w:rPr>
        <w:t xml:space="preserve">v </w:t>
      </w:r>
      <w:r w:rsidR="001B44CD" w:rsidRPr="008719F7">
        <w:rPr>
          <w:rFonts w:ascii="Arial" w:eastAsia="Times New Roman" w:hAnsi="Arial" w:cs="Arial"/>
          <w:color w:val="00000A"/>
          <w:sz w:val="20"/>
          <w:szCs w:val="20"/>
        </w:rPr>
        <w:t xml:space="preserve">Programu specializačního vzdělávání v oboru dětská neurologie </w:t>
      </w:r>
      <w:r w:rsidR="00B965B0" w:rsidRPr="008719F7">
        <w:rPr>
          <w:rFonts w:ascii="Arial" w:eastAsia="Times New Roman" w:hAnsi="Arial" w:cs="Arial"/>
          <w:color w:val="000000"/>
          <w:sz w:val="20"/>
          <w:szCs w:val="20"/>
        </w:rPr>
        <w:t xml:space="preserve">– </w:t>
      </w:r>
      <w:r w:rsidRPr="008719F7">
        <w:rPr>
          <w:rFonts w:ascii="Arial" w:eastAsia="Times New Roman" w:hAnsi="Arial" w:cs="Arial"/>
          <w:color w:val="00000A"/>
          <w:sz w:val="20"/>
          <w:szCs w:val="20"/>
        </w:rPr>
        <w:t xml:space="preserve">Metodika </w:t>
      </w:r>
      <w:r w:rsidR="001B44CD" w:rsidRPr="008719F7">
        <w:rPr>
          <w:rFonts w:ascii="Arial" w:eastAsia="Times New Roman" w:hAnsi="Arial" w:cs="Arial"/>
          <w:color w:val="00000A"/>
          <w:sz w:val="20"/>
          <w:szCs w:val="20"/>
        </w:rPr>
        <w:t>Program</w:t>
      </w:r>
      <w:r w:rsidR="00176428" w:rsidRPr="008719F7">
        <w:rPr>
          <w:rFonts w:ascii="Arial" w:eastAsia="Times New Roman" w:hAnsi="Arial" w:cs="Arial"/>
          <w:color w:val="00000A"/>
          <w:sz w:val="20"/>
          <w:szCs w:val="20"/>
        </w:rPr>
        <w:t>u</w:t>
      </w:r>
      <w:r w:rsidR="001B44CD" w:rsidRPr="008719F7">
        <w:rPr>
          <w:rFonts w:ascii="Arial" w:eastAsia="Times New Roman" w:hAnsi="Arial" w:cs="Arial"/>
          <w:color w:val="00000A"/>
          <w:sz w:val="20"/>
          <w:szCs w:val="20"/>
        </w:rPr>
        <w:t xml:space="preserve"> specializačního vzdělávání v</w:t>
      </w:r>
      <w:r w:rsidR="00176428" w:rsidRPr="008719F7">
        <w:rPr>
          <w:rFonts w:ascii="Arial" w:eastAsia="Times New Roman" w:hAnsi="Arial" w:cs="Arial"/>
          <w:color w:val="00000A"/>
          <w:sz w:val="20"/>
          <w:szCs w:val="20"/>
        </w:rPr>
        <w:t> </w:t>
      </w:r>
      <w:r w:rsidR="001B44CD" w:rsidRPr="008719F7">
        <w:rPr>
          <w:rFonts w:ascii="Arial" w:eastAsia="Times New Roman" w:hAnsi="Arial" w:cs="Arial"/>
          <w:color w:val="00000A"/>
          <w:sz w:val="20"/>
          <w:szCs w:val="20"/>
        </w:rPr>
        <w:t xml:space="preserve">oboru dětská neurologie </w:t>
      </w:r>
      <w:r w:rsidRPr="008719F7">
        <w:rPr>
          <w:rFonts w:ascii="Arial" w:eastAsia="Times New Roman" w:hAnsi="Arial" w:cs="Arial"/>
          <w:color w:val="00000A"/>
          <w:sz w:val="20"/>
          <w:szCs w:val="20"/>
        </w:rPr>
        <w:t xml:space="preserve">(dále jen „Metodika“). </w:t>
      </w:r>
    </w:p>
    <w:p w14:paraId="78A4FB97" w14:textId="2F63D6E5" w:rsidR="00291847" w:rsidRPr="008719F7" w:rsidRDefault="00291847" w:rsidP="00790599">
      <w:pPr>
        <w:pBdr>
          <w:top w:val="nil"/>
          <w:left w:val="nil"/>
          <w:bottom w:val="nil"/>
          <w:right w:val="nil"/>
          <w:between w:val="nil"/>
        </w:pBdr>
        <w:spacing w:after="120" w:line="276" w:lineRule="auto"/>
        <w:rPr>
          <w:rFonts w:ascii="Arial" w:eastAsia="Calibri" w:hAnsi="Arial" w:cs="Arial"/>
          <w:sz w:val="20"/>
          <w:szCs w:val="20"/>
        </w:rPr>
      </w:pPr>
      <w:r w:rsidRPr="008719F7">
        <w:rPr>
          <w:rFonts w:ascii="Arial" w:eastAsia="Calibri" w:hAnsi="Arial" w:cs="Arial"/>
          <w:sz w:val="20"/>
          <w:szCs w:val="20"/>
        </w:rPr>
        <w:t xml:space="preserve">Pravidla jsou uveřejněna na webovém portálu Poskytovatele dotace www.mzcr.cz. </w:t>
      </w:r>
    </w:p>
    <w:p w14:paraId="6C54C437" w14:textId="544239B1" w:rsidR="00291847" w:rsidRPr="008719F7" w:rsidRDefault="00291847" w:rsidP="00790599">
      <w:pPr>
        <w:pBdr>
          <w:top w:val="nil"/>
          <w:left w:val="nil"/>
          <w:bottom w:val="nil"/>
          <w:right w:val="nil"/>
          <w:between w:val="nil"/>
        </w:pBdr>
        <w:spacing w:after="120" w:line="276" w:lineRule="auto"/>
        <w:rPr>
          <w:rFonts w:ascii="Arial" w:eastAsia="Calibri" w:hAnsi="Arial" w:cs="Arial"/>
          <w:sz w:val="20"/>
          <w:szCs w:val="20"/>
        </w:rPr>
      </w:pPr>
      <w:r w:rsidRPr="008719F7">
        <w:rPr>
          <w:rFonts w:ascii="Arial" w:eastAsia="Calibri" w:hAnsi="Arial" w:cs="Arial"/>
          <w:sz w:val="20"/>
          <w:szCs w:val="20"/>
        </w:rPr>
        <w:lastRenderedPageBreak/>
        <w:t xml:space="preserve">Pravidla jsou pro Příjemce závazná ve verzi platné v den učinění příslušného úkonu souvisejícího </w:t>
      </w:r>
      <w:r w:rsidR="001B44CD" w:rsidRPr="008719F7">
        <w:rPr>
          <w:rFonts w:ascii="Arial" w:eastAsia="Calibri" w:hAnsi="Arial" w:cs="Arial"/>
          <w:sz w:val="20"/>
          <w:szCs w:val="20"/>
        </w:rPr>
        <w:t>s plněním účelu poskytnuté dotace</w:t>
      </w:r>
      <w:r w:rsidRPr="008719F7">
        <w:rPr>
          <w:rFonts w:ascii="Arial" w:eastAsia="Calibri" w:hAnsi="Arial" w:cs="Arial"/>
          <w:sz w:val="20"/>
          <w:szCs w:val="20"/>
        </w:rPr>
        <w:t>, nebo v den porušení příslušného ustanovení plynoucího z právních předpisů, Rozhodnutí či Pravidel</w:t>
      </w:r>
      <w:r w:rsidRPr="008719F7">
        <w:rPr>
          <w:rFonts w:ascii="Arial" w:eastAsia="Calibri" w:hAnsi="Arial" w:cs="Arial"/>
          <w:sz w:val="20"/>
          <w:szCs w:val="20"/>
          <w:vertAlign w:val="superscript"/>
        </w:rPr>
        <w:footnoteReference w:id="3"/>
      </w:r>
      <w:r w:rsidRPr="008719F7">
        <w:rPr>
          <w:rFonts w:ascii="Arial" w:eastAsia="Calibri" w:hAnsi="Arial" w:cs="Arial"/>
          <w:sz w:val="20"/>
          <w:szCs w:val="20"/>
        </w:rPr>
        <w:t xml:space="preserve">. </w:t>
      </w:r>
    </w:p>
    <w:p w14:paraId="0AF875A2" w14:textId="06DB25F4" w:rsidR="00291847" w:rsidRPr="008719F7" w:rsidRDefault="00291847" w:rsidP="00790599">
      <w:pPr>
        <w:pBdr>
          <w:top w:val="nil"/>
          <w:left w:val="nil"/>
          <w:bottom w:val="nil"/>
          <w:right w:val="nil"/>
          <w:between w:val="nil"/>
        </w:pBdr>
        <w:spacing w:after="120" w:line="276" w:lineRule="auto"/>
        <w:rPr>
          <w:rFonts w:ascii="Arial" w:eastAsia="Calibri" w:hAnsi="Arial" w:cs="Arial"/>
          <w:sz w:val="20"/>
          <w:szCs w:val="20"/>
        </w:rPr>
      </w:pPr>
      <w:r w:rsidRPr="008719F7">
        <w:rPr>
          <w:rFonts w:ascii="Arial" w:eastAsia="Calibri" w:hAnsi="Arial" w:cs="Arial"/>
          <w:sz w:val="20"/>
          <w:szCs w:val="20"/>
        </w:rPr>
        <w:t xml:space="preserve">Příjemce je povinen řídit se při </w:t>
      </w:r>
      <w:r w:rsidR="00F166B0" w:rsidRPr="008719F7">
        <w:rPr>
          <w:rFonts w:ascii="Arial" w:eastAsia="Calibri" w:hAnsi="Arial" w:cs="Arial"/>
          <w:sz w:val="20"/>
          <w:szCs w:val="20"/>
        </w:rPr>
        <w:t>plnění účelu dotace</w:t>
      </w:r>
      <w:r w:rsidRPr="008719F7">
        <w:rPr>
          <w:rFonts w:ascii="Arial" w:eastAsia="Calibri" w:hAnsi="Arial" w:cs="Arial"/>
          <w:sz w:val="20"/>
          <w:szCs w:val="20"/>
        </w:rPr>
        <w:t xml:space="preserve"> podmínkami upravenými v Pravidlech, nestanoví-li toto Rozhodnutí jinak.</w:t>
      </w:r>
    </w:p>
    <w:p w14:paraId="1E244D41" w14:textId="77777777" w:rsidR="00291847" w:rsidRPr="008719F7" w:rsidRDefault="00291847" w:rsidP="000948B4">
      <w:pPr>
        <w:spacing w:after="120" w:line="276" w:lineRule="auto"/>
        <w:jc w:val="center"/>
        <w:rPr>
          <w:rFonts w:ascii="Arial" w:eastAsia="Calibri" w:hAnsi="Arial" w:cs="Arial"/>
          <w:b/>
          <w:sz w:val="20"/>
          <w:szCs w:val="20"/>
        </w:rPr>
      </w:pPr>
    </w:p>
    <w:p w14:paraId="15349223" w14:textId="77777777" w:rsidR="009974F4" w:rsidRPr="008719F7" w:rsidRDefault="009974F4"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b/>
          <w:color w:val="000000"/>
          <w:sz w:val="20"/>
          <w:szCs w:val="20"/>
        </w:rPr>
        <w:t>Splnění účelu poskytnuté dotace</w:t>
      </w:r>
    </w:p>
    <w:p w14:paraId="1CD715E5" w14:textId="41EFD284" w:rsidR="009974F4" w:rsidRPr="008719F7" w:rsidRDefault="009974F4" w:rsidP="001F52F7">
      <w:pPr>
        <w:pBdr>
          <w:top w:val="nil"/>
          <w:left w:val="nil"/>
          <w:bottom w:val="nil"/>
          <w:right w:val="nil"/>
          <w:between w:val="nil"/>
        </w:pBdr>
        <w:spacing w:after="120" w:line="276" w:lineRule="auto"/>
        <w:rPr>
          <w:rFonts w:ascii="Arial" w:eastAsia="Calibri" w:hAnsi="Arial" w:cs="Arial"/>
          <w:sz w:val="20"/>
          <w:szCs w:val="20"/>
        </w:rPr>
      </w:pPr>
      <w:bookmarkStart w:id="3" w:name="_Ref29670240"/>
      <w:r w:rsidRPr="008719F7">
        <w:rPr>
          <w:rFonts w:ascii="Arial" w:eastAsia="Calibri" w:hAnsi="Arial" w:cs="Arial"/>
          <w:sz w:val="20"/>
          <w:szCs w:val="20"/>
        </w:rPr>
        <w:t>Příjemce je povinen splnit účel dotace uvedený v části I., bod 3</w:t>
      </w:r>
      <w:r w:rsidR="00471D38" w:rsidRPr="008719F7">
        <w:rPr>
          <w:rFonts w:ascii="Arial" w:eastAsia="Calibri" w:hAnsi="Arial" w:cs="Arial"/>
          <w:sz w:val="20"/>
          <w:szCs w:val="20"/>
        </w:rPr>
        <w:t>.</w:t>
      </w:r>
      <w:r w:rsidRPr="008719F7">
        <w:rPr>
          <w:rFonts w:ascii="Arial" w:eastAsia="Calibri" w:hAnsi="Arial" w:cs="Arial"/>
          <w:sz w:val="20"/>
          <w:szCs w:val="20"/>
        </w:rPr>
        <w:t xml:space="preserve"> tohoto Rozhodnutí</w:t>
      </w:r>
      <w:r w:rsidR="001F52F7" w:rsidRPr="008719F7">
        <w:rPr>
          <w:rFonts w:ascii="Arial" w:eastAsia="Calibri" w:hAnsi="Arial" w:cs="Arial"/>
          <w:sz w:val="20"/>
          <w:szCs w:val="20"/>
        </w:rPr>
        <w:t>, a to ve lhůtě uvedené v části I., bod 4. tohoto Rozhodnutí.</w:t>
      </w:r>
      <w:r w:rsidRPr="008719F7">
        <w:rPr>
          <w:rFonts w:ascii="Arial" w:eastAsia="Calibri" w:hAnsi="Arial" w:cs="Arial"/>
          <w:sz w:val="20"/>
          <w:szCs w:val="20"/>
        </w:rPr>
        <w:t xml:space="preserve"> Účel, na který byla dotace poskytnuta, nelze změnit.</w:t>
      </w:r>
      <w:bookmarkEnd w:id="3"/>
    </w:p>
    <w:p w14:paraId="7FCBEAA8" w14:textId="77777777" w:rsidR="001F52F7" w:rsidRPr="008719F7" w:rsidRDefault="001F52F7" w:rsidP="001F52F7">
      <w:pPr>
        <w:pBdr>
          <w:top w:val="nil"/>
          <w:left w:val="nil"/>
          <w:bottom w:val="nil"/>
          <w:right w:val="nil"/>
          <w:between w:val="nil"/>
        </w:pBdr>
        <w:spacing w:after="120" w:line="276" w:lineRule="auto"/>
        <w:ind w:left="720"/>
        <w:rPr>
          <w:rFonts w:ascii="Arial" w:eastAsia="Calibri" w:hAnsi="Arial" w:cs="Arial"/>
          <w:sz w:val="20"/>
          <w:szCs w:val="20"/>
        </w:rPr>
      </w:pPr>
    </w:p>
    <w:p w14:paraId="2CB83262" w14:textId="77777777" w:rsidR="009974F4" w:rsidRPr="008719F7" w:rsidRDefault="009974F4"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Způsobilé výdaje </w:t>
      </w:r>
    </w:p>
    <w:p w14:paraId="31719B77" w14:textId="099E69DE" w:rsidR="009974F4"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sz w:val="20"/>
          <w:szCs w:val="20"/>
        </w:rPr>
      </w:pPr>
      <w:r w:rsidRPr="008719F7">
        <w:rPr>
          <w:rFonts w:ascii="Arial" w:eastAsia="Calibri" w:hAnsi="Arial" w:cs="Arial"/>
          <w:sz w:val="20"/>
          <w:szCs w:val="20"/>
        </w:rPr>
        <w:t>Příj</w:t>
      </w:r>
      <w:r w:rsidR="00495DE0" w:rsidRPr="008719F7">
        <w:rPr>
          <w:rFonts w:ascii="Arial" w:eastAsia="Calibri" w:hAnsi="Arial" w:cs="Arial"/>
          <w:sz w:val="20"/>
          <w:szCs w:val="20"/>
        </w:rPr>
        <w:t xml:space="preserve">emce je oprávněn použít dotaci </w:t>
      </w:r>
      <w:r w:rsidRPr="008719F7">
        <w:rPr>
          <w:rFonts w:ascii="Arial" w:eastAsia="Calibri" w:hAnsi="Arial" w:cs="Arial"/>
          <w:sz w:val="20"/>
          <w:szCs w:val="20"/>
        </w:rPr>
        <w:t>pouze na výdaje, které souvisejí s plněním účelu poskytované dotace uvedeného v části I., bod 3</w:t>
      </w:r>
      <w:r w:rsidR="002A01E7" w:rsidRPr="008719F7">
        <w:rPr>
          <w:rFonts w:ascii="Arial" w:eastAsia="Calibri" w:hAnsi="Arial" w:cs="Arial"/>
          <w:sz w:val="20"/>
          <w:szCs w:val="20"/>
        </w:rPr>
        <w:t>.</w:t>
      </w:r>
      <w:r w:rsidRPr="008719F7">
        <w:rPr>
          <w:rFonts w:ascii="Arial" w:eastAsia="Calibri" w:hAnsi="Arial" w:cs="Arial"/>
          <w:sz w:val="20"/>
          <w:szCs w:val="20"/>
        </w:rPr>
        <w:t xml:space="preserve"> tohoto Rozhodnutí</w:t>
      </w:r>
      <w:r w:rsidR="00137165" w:rsidRPr="008719F7">
        <w:rPr>
          <w:rFonts w:ascii="Arial" w:eastAsia="Calibri" w:hAnsi="Arial" w:cs="Arial"/>
          <w:sz w:val="20"/>
          <w:szCs w:val="20"/>
        </w:rPr>
        <w:t xml:space="preserve"> a </w:t>
      </w:r>
      <w:r w:rsidRPr="008719F7">
        <w:rPr>
          <w:rFonts w:ascii="Arial" w:eastAsia="Calibri" w:hAnsi="Arial" w:cs="Arial"/>
          <w:sz w:val="20"/>
          <w:szCs w:val="20"/>
        </w:rPr>
        <w:t xml:space="preserve">které jsou způsobilé dle </w:t>
      </w:r>
      <w:r w:rsidR="00D62C7D" w:rsidRPr="008719F7">
        <w:rPr>
          <w:rFonts w:ascii="Arial" w:eastAsia="Calibri" w:hAnsi="Arial" w:cs="Arial"/>
          <w:sz w:val="20"/>
          <w:szCs w:val="20"/>
        </w:rPr>
        <w:t>Metodiky</w:t>
      </w:r>
      <w:r w:rsidRPr="008719F7">
        <w:rPr>
          <w:rFonts w:ascii="Arial" w:eastAsia="Calibri" w:hAnsi="Arial" w:cs="Arial"/>
          <w:sz w:val="20"/>
          <w:szCs w:val="20"/>
        </w:rPr>
        <w:t>.</w:t>
      </w:r>
    </w:p>
    <w:p w14:paraId="6E65F11B" w14:textId="5AA2A971" w:rsidR="009974F4"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sz w:val="20"/>
          <w:szCs w:val="20"/>
        </w:rPr>
      </w:pPr>
      <w:r w:rsidRPr="008719F7">
        <w:rPr>
          <w:rFonts w:ascii="Arial" w:eastAsia="Calibri" w:hAnsi="Arial" w:cs="Arial"/>
          <w:sz w:val="20"/>
          <w:szCs w:val="20"/>
        </w:rPr>
        <w:t xml:space="preserve">Příjemce je oprávněn použít dotaci pouze na výdaje vzniklé ve lhůtě pro dosažení účelu </w:t>
      </w:r>
      <w:r w:rsidR="00FC08FE" w:rsidRPr="008719F7">
        <w:rPr>
          <w:rFonts w:ascii="Arial" w:eastAsia="Calibri" w:hAnsi="Arial" w:cs="Arial"/>
          <w:sz w:val="20"/>
          <w:szCs w:val="20"/>
        </w:rPr>
        <w:t xml:space="preserve">poskytované dotace </w:t>
      </w:r>
      <w:r w:rsidR="00EB139A" w:rsidRPr="008719F7">
        <w:rPr>
          <w:rFonts w:ascii="Arial" w:eastAsia="Calibri" w:hAnsi="Arial" w:cs="Arial"/>
          <w:sz w:val="20"/>
          <w:szCs w:val="20"/>
        </w:rPr>
        <w:t>uvedeného v</w:t>
      </w:r>
      <w:r w:rsidRPr="008719F7">
        <w:rPr>
          <w:rFonts w:ascii="Arial" w:eastAsia="Calibri" w:hAnsi="Arial" w:cs="Arial"/>
          <w:sz w:val="20"/>
          <w:szCs w:val="20"/>
        </w:rPr>
        <w:t xml:space="preserve"> části I., bod 4. tohoto Rozhodnutí. </w:t>
      </w:r>
    </w:p>
    <w:p w14:paraId="57DF8095" w14:textId="3CAD01A4" w:rsidR="009974F4"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sz w:val="20"/>
          <w:szCs w:val="20"/>
        </w:rPr>
        <w:t>Příjemce je povinen respektovat zákaz dvojího financování výdaje, jenž bude financován z</w:t>
      </w:r>
      <w:r w:rsidR="00FC5AA8" w:rsidRPr="008719F7">
        <w:rPr>
          <w:rFonts w:ascii="Arial" w:eastAsia="Calibri" w:hAnsi="Arial" w:cs="Arial"/>
          <w:sz w:val="20"/>
          <w:szCs w:val="20"/>
        </w:rPr>
        <w:t> </w:t>
      </w:r>
      <w:r w:rsidRPr="008719F7">
        <w:rPr>
          <w:rFonts w:ascii="Arial" w:eastAsia="Calibri" w:hAnsi="Arial" w:cs="Arial"/>
          <w:sz w:val="20"/>
          <w:szCs w:val="20"/>
        </w:rPr>
        <w:t xml:space="preserve">této dotace. Příjemce nesmí na úhradu nebo pokrytí téhož výdaje, </w:t>
      </w:r>
      <w:r w:rsidR="00137165" w:rsidRPr="008719F7">
        <w:rPr>
          <w:rFonts w:ascii="Arial" w:eastAsia="Calibri" w:hAnsi="Arial" w:cs="Arial"/>
          <w:sz w:val="20"/>
          <w:szCs w:val="20"/>
        </w:rPr>
        <w:t>který byl uhrazen nebo pokryt z </w:t>
      </w:r>
      <w:r w:rsidRPr="008719F7">
        <w:rPr>
          <w:rFonts w:ascii="Arial" w:eastAsia="Calibri" w:hAnsi="Arial" w:cs="Arial"/>
          <w:sz w:val="20"/>
          <w:szCs w:val="20"/>
        </w:rPr>
        <w:t>dotace, použít prostředky poskytnuté mu z jiných Evropských strukturálních a</w:t>
      </w:r>
      <w:r w:rsidR="00FC5AA8" w:rsidRPr="008719F7">
        <w:rPr>
          <w:rFonts w:ascii="Arial" w:eastAsia="Calibri" w:hAnsi="Arial" w:cs="Arial"/>
          <w:sz w:val="20"/>
          <w:szCs w:val="20"/>
        </w:rPr>
        <w:t> </w:t>
      </w:r>
      <w:r w:rsidRPr="008719F7">
        <w:rPr>
          <w:rFonts w:ascii="Arial" w:eastAsia="Calibri" w:hAnsi="Arial" w:cs="Arial"/>
          <w:sz w:val="20"/>
          <w:szCs w:val="20"/>
        </w:rPr>
        <w:t>investičních fondů, z jiných nástrojů Evropské unie, z téhož fondu v</w:t>
      </w:r>
      <w:r w:rsidR="00162A31" w:rsidRPr="008719F7">
        <w:rPr>
          <w:rFonts w:ascii="Arial" w:eastAsia="Calibri" w:hAnsi="Arial" w:cs="Arial"/>
          <w:sz w:val="20"/>
          <w:szCs w:val="20"/>
        </w:rPr>
        <w:t> </w:t>
      </w:r>
      <w:r w:rsidRPr="008719F7">
        <w:rPr>
          <w:rFonts w:ascii="Arial" w:eastAsia="Calibri" w:hAnsi="Arial" w:cs="Arial"/>
          <w:sz w:val="20"/>
          <w:szCs w:val="20"/>
        </w:rPr>
        <w:t>rámci jiného programu nebo z jiných zahraničních prostředků nebo jiných národních veřejných prostředků či jiných zdrojů. Výdaje, které byly uhrazeny nebo pokryty z</w:t>
      </w:r>
      <w:r w:rsidR="00F31D8F" w:rsidRPr="008719F7">
        <w:rPr>
          <w:rFonts w:ascii="Arial" w:eastAsia="Calibri" w:hAnsi="Arial" w:cs="Arial"/>
          <w:sz w:val="20"/>
          <w:szCs w:val="20"/>
        </w:rPr>
        <w:t> </w:t>
      </w:r>
      <w:r w:rsidRPr="008719F7">
        <w:rPr>
          <w:rFonts w:ascii="Arial" w:eastAsia="Calibri" w:hAnsi="Arial" w:cs="Arial"/>
          <w:sz w:val="20"/>
          <w:szCs w:val="20"/>
        </w:rPr>
        <w:t>výše uvedených zdrojů</w:t>
      </w:r>
      <w:r w:rsidR="00043137" w:rsidRPr="008719F7">
        <w:rPr>
          <w:rFonts w:ascii="Arial" w:eastAsia="Calibri" w:hAnsi="Arial" w:cs="Arial"/>
          <w:sz w:val="20"/>
          <w:szCs w:val="20"/>
        </w:rPr>
        <w:t>,</w:t>
      </w:r>
      <w:r w:rsidRPr="008719F7">
        <w:rPr>
          <w:rFonts w:ascii="Arial" w:eastAsia="Calibri" w:hAnsi="Arial" w:cs="Arial"/>
          <w:sz w:val="20"/>
          <w:szCs w:val="20"/>
        </w:rPr>
        <w:t xml:space="preserve"> nejsou způsobilé. Pokud byl určitý výdaj uhrazen z této dotace pouze z</w:t>
      </w:r>
      <w:r w:rsidR="00FC5AA8" w:rsidRPr="008719F7">
        <w:rPr>
          <w:rFonts w:ascii="Arial" w:eastAsia="Calibri" w:hAnsi="Arial" w:cs="Arial"/>
          <w:sz w:val="20"/>
          <w:szCs w:val="20"/>
        </w:rPr>
        <w:t> </w:t>
      </w:r>
      <w:r w:rsidRPr="008719F7">
        <w:rPr>
          <w:rFonts w:ascii="Arial" w:eastAsia="Calibri" w:hAnsi="Arial" w:cs="Arial"/>
          <w:sz w:val="20"/>
          <w:szCs w:val="20"/>
        </w:rPr>
        <w:t>části, týká se zákaz podle předchozí části odstavce pouze této části</w:t>
      </w:r>
      <w:r w:rsidRPr="008719F7">
        <w:rPr>
          <w:rFonts w:ascii="Arial" w:eastAsia="Calibri" w:hAnsi="Arial" w:cs="Arial"/>
          <w:color w:val="000000"/>
          <w:sz w:val="20"/>
          <w:szCs w:val="20"/>
        </w:rPr>
        <w:t xml:space="preserve"> výdaje. </w:t>
      </w:r>
    </w:p>
    <w:p w14:paraId="3454C3FF" w14:textId="77777777" w:rsidR="009974F4" w:rsidRPr="008719F7" w:rsidRDefault="009974F4" w:rsidP="000948B4">
      <w:pPr>
        <w:pBdr>
          <w:top w:val="nil"/>
          <w:left w:val="nil"/>
          <w:bottom w:val="nil"/>
          <w:right w:val="nil"/>
          <w:between w:val="nil"/>
        </w:pBdr>
        <w:spacing w:after="120" w:line="276" w:lineRule="auto"/>
        <w:ind w:left="363" w:hanging="709"/>
        <w:contextualSpacing/>
        <w:rPr>
          <w:rFonts w:ascii="Arial" w:eastAsia="Calibri" w:hAnsi="Arial" w:cs="Arial"/>
          <w:color w:val="000000"/>
          <w:sz w:val="20"/>
          <w:szCs w:val="20"/>
        </w:rPr>
      </w:pPr>
    </w:p>
    <w:p w14:paraId="32EFEEBF" w14:textId="77777777" w:rsidR="009974F4" w:rsidRPr="008719F7" w:rsidRDefault="009974F4"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Monitorování a oznamovací povinnost</w:t>
      </w:r>
    </w:p>
    <w:p w14:paraId="681CCCD8" w14:textId="44EF0853" w:rsidR="00C9612C"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Příjemce je povinen Poskytovateli dotace odevzdávat dokumentaci nezbytnou k</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průběžnému monitorování a vyúčtování dotace dle</w:t>
      </w:r>
      <w:r w:rsidR="009537E8" w:rsidRPr="008719F7">
        <w:rPr>
          <w:rFonts w:ascii="Arial" w:eastAsia="Calibri" w:hAnsi="Arial" w:cs="Arial"/>
          <w:color w:val="000000"/>
          <w:sz w:val="20"/>
          <w:szCs w:val="20"/>
        </w:rPr>
        <w:t xml:space="preserve"> Metodiky,</w:t>
      </w:r>
      <w:r w:rsidRPr="008719F7">
        <w:rPr>
          <w:rFonts w:ascii="Arial" w:eastAsia="Calibri" w:hAnsi="Arial" w:cs="Arial"/>
          <w:color w:val="000000"/>
          <w:sz w:val="20"/>
          <w:szCs w:val="20"/>
        </w:rPr>
        <w:t xml:space="preserve"> a to nejpozději do </w:t>
      </w:r>
      <w:r w:rsidR="004D12F0" w:rsidRPr="008719F7">
        <w:rPr>
          <w:rFonts w:ascii="Arial" w:eastAsia="Calibri" w:hAnsi="Arial" w:cs="Arial"/>
          <w:color w:val="000000"/>
          <w:sz w:val="20"/>
          <w:szCs w:val="20"/>
        </w:rPr>
        <w:t>jednoho</w:t>
      </w:r>
      <w:r w:rsidRPr="008719F7">
        <w:rPr>
          <w:rFonts w:ascii="Arial" w:eastAsia="Calibri" w:hAnsi="Arial" w:cs="Arial"/>
          <w:color w:val="000000"/>
          <w:sz w:val="20"/>
          <w:szCs w:val="20"/>
        </w:rPr>
        <w:t xml:space="preserve"> měsíc</w:t>
      </w:r>
      <w:r w:rsidR="00433D70" w:rsidRPr="008719F7">
        <w:rPr>
          <w:rFonts w:ascii="Arial" w:eastAsia="Calibri" w:hAnsi="Arial" w:cs="Arial"/>
          <w:color w:val="000000"/>
          <w:sz w:val="20"/>
          <w:szCs w:val="20"/>
        </w:rPr>
        <w:t>e</w:t>
      </w:r>
      <w:r w:rsidRPr="008719F7">
        <w:rPr>
          <w:rFonts w:ascii="Arial" w:eastAsia="Calibri" w:hAnsi="Arial" w:cs="Arial"/>
          <w:color w:val="000000"/>
          <w:sz w:val="20"/>
          <w:szCs w:val="20"/>
        </w:rPr>
        <w:t xml:space="preserve"> od ukončení monitorovacího období</w:t>
      </w:r>
      <w:r w:rsidR="00C9612C" w:rsidRPr="008719F7">
        <w:rPr>
          <w:rFonts w:ascii="Arial" w:eastAsia="Calibri" w:hAnsi="Arial" w:cs="Arial"/>
          <w:color w:val="000000"/>
          <w:sz w:val="20"/>
          <w:szCs w:val="20"/>
        </w:rPr>
        <w:t xml:space="preserve">. </w:t>
      </w:r>
      <w:r w:rsidR="00EB139A" w:rsidRPr="008719F7">
        <w:rPr>
          <w:rFonts w:ascii="Arial" w:eastAsia="Calibri" w:hAnsi="Arial" w:cs="Arial"/>
          <w:color w:val="000000"/>
          <w:sz w:val="20"/>
          <w:szCs w:val="20"/>
        </w:rPr>
        <w:t>M</w:t>
      </w:r>
      <w:r w:rsidR="00C9612C" w:rsidRPr="008719F7">
        <w:rPr>
          <w:rFonts w:ascii="Arial" w:eastAsia="Calibri" w:hAnsi="Arial" w:cs="Arial"/>
          <w:color w:val="000000"/>
          <w:sz w:val="20"/>
          <w:szCs w:val="20"/>
        </w:rPr>
        <w:t>onitorovací období, za které je Příjemce povinen předložit dokumentaci</w:t>
      </w:r>
      <w:r w:rsidR="00EB139A" w:rsidRPr="008719F7">
        <w:rPr>
          <w:rFonts w:ascii="Arial" w:eastAsia="Calibri" w:hAnsi="Arial" w:cs="Arial"/>
          <w:color w:val="000000"/>
          <w:sz w:val="20"/>
          <w:szCs w:val="20"/>
        </w:rPr>
        <w:t>,</w:t>
      </w:r>
      <w:r w:rsidR="00E514A9" w:rsidRPr="008719F7">
        <w:rPr>
          <w:rFonts w:ascii="Arial" w:eastAsia="Calibri" w:hAnsi="Arial" w:cs="Arial"/>
          <w:color w:val="000000"/>
          <w:sz w:val="20"/>
          <w:szCs w:val="20"/>
        </w:rPr>
        <w:t xml:space="preserve"> </w:t>
      </w:r>
      <w:r w:rsidR="00DD6B62" w:rsidRPr="008719F7">
        <w:rPr>
          <w:rFonts w:ascii="Arial" w:eastAsia="Calibri" w:hAnsi="Arial" w:cs="Arial"/>
          <w:color w:val="000000"/>
          <w:sz w:val="20"/>
          <w:szCs w:val="20"/>
        </w:rPr>
        <w:t>a</w:t>
      </w:r>
      <w:r w:rsidR="00E514A9" w:rsidRPr="008719F7">
        <w:rPr>
          <w:rFonts w:ascii="Arial" w:eastAsia="Calibri" w:hAnsi="Arial" w:cs="Arial"/>
          <w:color w:val="000000"/>
          <w:sz w:val="20"/>
          <w:szCs w:val="20"/>
        </w:rPr>
        <w:t xml:space="preserve"> lhůty pro odevzdání dokumentace</w:t>
      </w:r>
      <w:r w:rsidR="00C9612C" w:rsidRPr="008719F7">
        <w:rPr>
          <w:rFonts w:ascii="Arial" w:eastAsia="Calibri" w:hAnsi="Arial" w:cs="Arial"/>
          <w:color w:val="000000"/>
          <w:sz w:val="20"/>
          <w:szCs w:val="20"/>
        </w:rPr>
        <w:t xml:space="preserve"> j</w:t>
      </w:r>
      <w:r w:rsidR="00EB139A" w:rsidRPr="008719F7">
        <w:rPr>
          <w:rFonts w:ascii="Arial" w:eastAsia="Calibri" w:hAnsi="Arial" w:cs="Arial"/>
          <w:color w:val="000000"/>
          <w:sz w:val="20"/>
          <w:szCs w:val="20"/>
        </w:rPr>
        <w:t>sou</w:t>
      </w:r>
      <w:r w:rsidR="00C9612C" w:rsidRPr="008719F7">
        <w:rPr>
          <w:rFonts w:ascii="Arial" w:eastAsia="Calibri" w:hAnsi="Arial" w:cs="Arial"/>
          <w:color w:val="000000"/>
          <w:sz w:val="20"/>
          <w:szCs w:val="20"/>
        </w:rPr>
        <w:t xml:space="preserve"> stanoven</w:t>
      </w:r>
      <w:r w:rsidR="00DD6B62" w:rsidRPr="008719F7">
        <w:rPr>
          <w:rFonts w:ascii="Arial" w:eastAsia="Calibri" w:hAnsi="Arial" w:cs="Arial"/>
          <w:color w:val="000000"/>
          <w:sz w:val="20"/>
          <w:szCs w:val="20"/>
        </w:rPr>
        <w:t>y</w:t>
      </w:r>
      <w:r w:rsidR="00C9612C" w:rsidRPr="008719F7">
        <w:rPr>
          <w:rFonts w:ascii="Arial" w:eastAsia="Calibri" w:hAnsi="Arial" w:cs="Arial"/>
          <w:color w:val="000000"/>
          <w:sz w:val="20"/>
          <w:szCs w:val="20"/>
        </w:rPr>
        <w:t xml:space="preserve"> v Metodice.</w:t>
      </w:r>
    </w:p>
    <w:p w14:paraId="6FF51E11" w14:textId="28874325" w:rsidR="009974F4"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Nápravu nedostatků v předkládané dokumentac</w:t>
      </w:r>
      <w:r w:rsidR="00EB139A" w:rsidRPr="008719F7">
        <w:rPr>
          <w:rFonts w:ascii="Arial" w:eastAsia="Calibri" w:hAnsi="Arial" w:cs="Arial"/>
          <w:color w:val="000000"/>
          <w:sz w:val="20"/>
          <w:szCs w:val="20"/>
        </w:rPr>
        <w:t>i</w:t>
      </w:r>
      <w:r w:rsidRPr="008719F7">
        <w:rPr>
          <w:rFonts w:ascii="Arial" w:eastAsia="Calibri" w:hAnsi="Arial" w:cs="Arial"/>
          <w:color w:val="000000"/>
          <w:sz w:val="20"/>
          <w:szCs w:val="20"/>
        </w:rPr>
        <w:t xml:space="preserve"> za jednotlivá monitorovací období je Příjemce povinen provést a případně další vyžádanou dokumentaci předkládat v</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termínech stanovených Poskytovatelem dotace.</w:t>
      </w:r>
    </w:p>
    <w:p w14:paraId="242200BA" w14:textId="4AE67F69" w:rsidR="00C9612C"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bez zbytečného odkladu oznámit Poskytovateli dotace veškeré skutečnosti, které mohou mít vliv na plnění účelu poskytované dotace, a případně další změny související </w:t>
      </w:r>
      <w:r w:rsidRPr="008719F7">
        <w:rPr>
          <w:rFonts w:ascii="Arial" w:eastAsia="Calibri" w:hAnsi="Arial" w:cs="Arial"/>
          <w:color w:val="000000"/>
          <w:sz w:val="20"/>
          <w:szCs w:val="20"/>
        </w:rPr>
        <w:lastRenderedPageBreak/>
        <w:t>s poskytnutou dotací dle M</w:t>
      </w:r>
      <w:r w:rsidR="00C9612C" w:rsidRPr="008719F7">
        <w:rPr>
          <w:rFonts w:ascii="Arial" w:eastAsia="Calibri" w:hAnsi="Arial" w:cs="Arial"/>
          <w:color w:val="000000"/>
          <w:sz w:val="20"/>
          <w:szCs w:val="20"/>
        </w:rPr>
        <w:t>etodiky</w:t>
      </w:r>
      <w:r w:rsidRPr="008719F7">
        <w:rPr>
          <w:rFonts w:ascii="Arial" w:eastAsia="Calibri" w:hAnsi="Arial" w:cs="Arial"/>
          <w:color w:val="000000"/>
          <w:sz w:val="20"/>
          <w:szCs w:val="20"/>
        </w:rPr>
        <w:t>. Toto oznámení nezbavuje Příjemce povinnosti plnit podmínky dle tohoto Rozhodnutí.</w:t>
      </w:r>
      <w:r w:rsidR="00C9612C" w:rsidRPr="008719F7">
        <w:rPr>
          <w:rFonts w:ascii="Arial" w:eastAsia="Calibri" w:hAnsi="Arial" w:cs="Arial"/>
          <w:color w:val="000000"/>
          <w:sz w:val="20"/>
          <w:szCs w:val="20"/>
        </w:rPr>
        <w:t xml:space="preserve"> </w:t>
      </w:r>
    </w:p>
    <w:p w14:paraId="5F850966" w14:textId="09627EDC" w:rsidR="00C9612C"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w:t>
      </w:r>
      <w:r w:rsidR="001B44CD" w:rsidRPr="008719F7">
        <w:rPr>
          <w:rFonts w:ascii="Arial" w:eastAsia="Calibri" w:hAnsi="Arial" w:cs="Arial"/>
          <w:color w:val="000000"/>
          <w:sz w:val="20"/>
          <w:szCs w:val="20"/>
        </w:rPr>
        <w:t xml:space="preserve">je povinen na základě žádosti Poskytovatele dotace, </w:t>
      </w:r>
      <w:r w:rsidR="00902E39" w:rsidRPr="008719F7">
        <w:rPr>
          <w:rFonts w:ascii="Arial" w:eastAsia="Calibri" w:hAnsi="Arial" w:cs="Arial"/>
          <w:color w:val="000000"/>
          <w:sz w:val="20"/>
          <w:szCs w:val="20"/>
        </w:rPr>
        <w:t>Ministerstv</w:t>
      </w:r>
      <w:r w:rsidR="00D93DC5" w:rsidRPr="008719F7">
        <w:rPr>
          <w:rFonts w:ascii="Arial" w:eastAsia="Calibri" w:hAnsi="Arial" w:cs="Arial"/>
          <w:color w:val="000000"/>
          <w:sz w:val="20"/>
          <w:szCs w:val="20"/>
        </w:rPr>
        <w:t>a</w:t>
      </w:r>
      <w:r w:rsidR="00902E39" w:rsidRPr="008719F7">
        <w:rPr>
          <w:rFonts w:ascii="Arial" w:eastAsia="Calibri" w:hAnsi="Arial" w:cs="Arial"/>
          <w:color w:val="000000"/>
          <w:sz w:val="20"/>
          <w:szCs w:val="20"/>
        </w:rPr>
        <w:t xml:space="preserve"> práce a</w:t>
      </w:r>
      <w:r w:rsidR="00B1386A" w:rsidRPr="008719F7">
        <w:rPr>
          <w:rFonts w:ascii="Arial" w:eastAsia="Calibri" w:hAnsi="Arial" w:cs="Arial"/>
          <w:color w:val="000000"/>
          <w:sz w:val="20"/>
          <w:szCs w:val="20"/>
        </w:rPr>
        <w:t> </w:t>
      </w:r>
      <w:r w:rsidR="00902E39" w:rsidRPr="008719F7">
        <w:rPr>
          <w:rFonts w:ascii="Arial" w:eastAsia="Calibri" w:hAnsi="Arial" w:cs="Arial"/>
          <w:color w:val="000000"/>
          <w:sz w:val="20"/>
          <w:szCs w:val="20"/>
        </w:rPr>
        <w:t xml:space="preserve">sociálních věcí jakožto Řídicí orgán Operačního programu Zaměstnanost (dále jen „MPSV“) </w:t>
      </w:r>
      <w:r w:rsidR="001B44CD" w:rsidRPr="008719F7">
        <w:rPr>
          <w:rFonts w:ascii="Arial" w:eastAsia="Calibri" w:hAnsi="Arial" w:cs="Arial"/>
          <w:color w:val="000000"/>
          <w:sz w:val="20"/>
          <w:szCs w:val="20"/>
        </w:rPr>
        <w:t>nebo Ministerstva financí poskytnout těmto písemně jakékoliv doplňující informace související s realizací účelu dotace (zejména má Příjemce v této souvislosti povinnost poskytnout veškeré informace o výsledcích kontrol a auditů, včetně kontrolních protokolů z kontrol provedených v souvislosti s účelem dotace), a to ve lhůtě stanovené Poskytovatelem dotace, MPSV, respektive Ministerstvem financí.</w:t>
      </w:r>
    </w:p>
    <w:p w14:paraId="4418DB06" w14:textId="4FE83F39" w:rsidR="004464B4" w:rsidRPr="008719F7" w:rsidRDefault="004464B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Příjemce je povinen Poskytovatele dotace informovat o zahájeném insolvenčním řízení, a to do 5 dnů od uveřejnění vyhlášky o insolvenčním návrhu na portálu https://isir.justice.cz. Příjemce je dále povinen informovat Poskytovatele dotace o</w:t>
      </w:r>
      <w:r w:rsidR="00E56845" w:rsidRPr="008719F7">
        <w:rPr>
          <w:rFonts w:ascii="Arial" w:eastAsia="Calibri" w:hAnsi="Arial" w:cs="Arial"/>
          <w:color w:val="000000"/>
          <w:sz w:val="20"/>
          <w:szCs w:val="20"/>
        </w:rPr>
        <w:t> </w:t>
      </w:r>
      <w:r w:rsidRPr="008719F7">
        <w:rPr>
          <w:rFonts w:ascii="Arial" w:eastAsia="Calibri" w:hAnsi="Arial" w:cs="Arial"/>
          <w:color w:val="000000"/>
          <w:sz w:val="20"/>
          <w:szCs w:val="20"/>
        </w:rPr>
        <w:t>vstupu Příjemce do likvidace, a to do 5 dnů od uveřejnění výzvy likvidátora k</w:t>
      </w:r>
      <w:r w:rsidR="00E56845" w:rsidRPr="008719F7">
        <w:rPr>
          <w:rFonts w:ascii="Arial" w:eastAsia="Calibri" w:hAnsi="Arial" w:cs="Arial"/>
          <w:color w:val="000000"/>
          <w:sz w:val="20"/>
          <w:szCs w:val="20"/>
        </w:rPr>
        <w:t> </w:t>
      </w:r>
      <w:r w:rsidRPr="008719F7">
        <w:rPr>
          <w:rFonts w:ascii="Arial" w:eastAsia="Calibri" w:hAnsi="Arial" w:cs="Arial"/>
          <w:color w:val="000000"/>
          <w:sz w:val="20"/>
          <w:szCs w:val="20"/>
        </w:rPr>
        <w:t>přihlášení pohledávek uveřejněné na portálu http://ov.gov.cz.</w:t>
      </w:r>
    </w:p>
    <w:p w14:paraId="335F2E86" w14:textId="77777777" w:rsidR="009974F4" w:rsidRPr="008719F7" w:rsidRDefault="009974F4" w:rsidP="00BD54B3">
      <w:pPr>
        <w:pBdr>
          <w:top w:val="nil"/>
          <w:left w:val="nil"/>
          <w:bottom w:val="nil"/>
          <w:right w:val="nil"/>
          <w:between w:val="nil"/>
        </w:pBdr>
        <w:spacing w:after="120" w:line="276" w:lineRule="auto"/>
        <w:ind w:left="720" w:hanging="720"/>
        <w:contextualSpacing/>
        <w:rPr>
          <w:rFonts w:ascii="Arial" w:eastAsia="Calibri" w:hAnsi="Arial" w:cs="Arial"/>
          <w:color w:val="000000"/>
          <w:sz w:val="20"/>
          <w:szCs w:val="20"/>
        </w:rPr>
      </w:pPr>
      <w:bookmarkStart w:id="4" w:name="_3znysh7" w:colFirst="0" w:colLast="0"/>
      <w:bookmarkEnd w:id="4"/>
    </w:p>
    <w:p w14:paraId="65889CB9" w14:textId="77777777" w:rsidR="009974F4" w:rsidRPr="008719F7" w:rsidRDefault="009974F4"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Vedení účetnictví </w:t>
      </w:r>
    </w:p>
    <w:p w14:paraId="0F88EDC8" w14:textId="7FAD45F8" w:rsidR="001B44CD"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Příjemce je povinen řádně účtovat o veškerých příjmech a výdajích, resp. výnosech a</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nákladech. Příjemce je povinen vést účetnictví v souladu se zákonem č. 563/1991 Sb., o</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účetnictví, ve znění pozdějších předpisů, a vést příjmy a výdaje s jednoznačnou vazbou na poskytnutou dotaci, nebo je povinen vést tzv. daňovou evidenci podle zákona č.</w:t>
      </w:r>
      <w:r w:rsidR="00E41919" w:rsidRPr="008719F7">
        <w:rPr>
          <w:rFonts w:ascii="Arial" w:eastAsia="Calibri" w:hAnsi="Arial" w:cs="Arial"/>
          <w:color w:val="000000"/>
          <w:sz w:val="20"/>
          <w:szCs w:val="20"/>
        </w:rPr>
        <w:t> </w:t>
      </w:r>
      <w:r w:rsidRPr="008719F7">
        <w:rPr>
          <w:rFonts w:ascii="Arial" w:eastAsia="Calibri" w:hAnsi="Arial" w:cs="Arial"/>
          <w:color w:val="000000"/>
          <w:sz w:val="20"/>
          <w:szCs w:val="20"/>
        </w:rPr>
        <w:t>586/1992 Sb., o daních z příjmů, ve znění pozdějších předpisů, rozšířenou tak, aby příslušné doklady vztahující se k</w:t>
      </w:r>
      <w:r w:rsidR="0070154B" w:rsidRPr="008719F7">
        <w:rPr>
          <w:rFonts w:ascii="Arial" w:eastAsia="Calibri" w:hAnsi="Arial" w:cs="Arial"/>
          <w:color w:val="000000"/>
          <w:sz w:val="20"/>
          <w:szCs w:val="20"/>
        </w:rPr>
        <w:t xml:space="preserve"> účelu </w:t>
      </w:r>
      <w:r w:rsidRPr="008719F7">
        <w:rPr>
          <w:rFonts w:ascii="Arial" w:eastAsia="Calibri" w:hAnsi="Arial" w:cs="Arial"/>
          <w:color w:val="000000"/>
          <w:sz w:val="20"/>
          <w:szCs w:val="20"/>
        </w:rPr>
        <w:t>poskyt</w:t>
      </w:r>
      <w:r w:rsidR="0070154B" w:rsidRPr="008719F7">
        <w:rPr>
          <w:rFonts w:ascii="Arial" w:eastAsia="Calibri" w:hAnsi="Arial" w:cs="Arial"/>
          <w:color w:val="000000"/>
          <w:sz w:val="20"/>
          <w:szCs w:val="20"/>
        </w:rPr>
        <w:t>ovaných</w:t>
      </w:r>
      <w:r w:rsidRPr="008719F7">
        <w:rPr>
          <w:rFonts w:ascii="Arial" w:eastAsia="Calibri" w:hAnsi="Arial" w:cs="Arial"/>
          <w:color w:val="000000"/>
          <w:sz w:val="20"/>
          <w:szCs w:val="20"/>
        </w:rPr>
        <w:t xml:space="preserve"> prostředků splňovaly náležitosti účetního d</w:t>
      </w:r>
      <w:r w:rsidR="00137165" w:rsidRPr="008719F7">
        <w:rPr>
          <w:rFonts w:ascii="Arial" w:eastAsia="Calibri" w:hAnsi="Arial" w:cs="Arial"/>
          <w:color w:val="000000"/>
          <w:sz w:val="20"/>
          <w:szCs w:val="20"/>
        </w:rPr>
        <w:t>okladu ve smyslu § 11 zákona č. </w:t>
      </w:r>
      <w:r w:rsidRPr="008719F7">
        <w:rPr>
          <w:rFonts w:ascii="Arial" w:eastAsia="Calibri" w:hAnsi="Arial" w:cs="Arial"/>
          <w:color w:val="000000"/>
          <w:sz w:val="20"/>
          <w:szCs w:val="20"/>
        </w:rPr>
        <w:t>563/1991 Sb., (s výjimkou písm. f) zákona)</w:t>
      </w:r>
      <w:r w:rsidR="0070154B"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a</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aby předmětné doklady byly správné, úplné, průkazné, srozumitelné, vedené v</w:t>
      </w:r>
      <w:r w:rsidR="00F31D8F" w:rsidRPr="008719F7">
        <w:rPr>
          <w:rFonts w:ascii="Arial" w:eastAsia="Calibri" w:hAnsi="Arial" w:cs="Arial"/>
          <w:color w:val="000000"/>
          <w:sz w:val="20"/>
          <w:szCs w:val="20"/>
        </w:rPr>
        <w:t> </w:t>
      </w:r>
      <w:r w:rsidRPr="008719F7">
        <w:rPr>
          <w:rFonts w:ascii="Arial" w:eastAsia="Calibri" w:hAnsi="Arial" w:cs="Arial"/>
          <w:color w:val="000000"/>
          <w:sz w:val="20"/>
          <w:szCs w:val="20"/>
        </w:rPr>
        <w:t>písemné formě chronologicky a způsobem zaručujícím jejich trvanlivost a aby uskutečněné příjmy a výdaje byly vedeny s jednoznačnou vazbou na poskytnutou dotaci.</w:t>
      </w:r>
    </w:p>
    <w:p w14:paraId="11210C32" w14:textId="11F1A229" w:rsidR="001B44CD"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Příjemce je povinen předat Poskytovateli dotace ve lhůtě jím stanovené na jeho vyžádání účetní záznamy a další doklady vztahující se k poskytnuté dotaci v</w:t>
      </w:r>
      <w:r w:rsidR="00F31D8F" w:rsidRPr="008719F7">
        <w:rPr>
          <w:rFonts w:ascii="Arial" w:eastAsia="Calibri" w:hAnsi="Arial" w:cs="Arial"/>
          <w:color w:val="000000"/>
          <w:sz w:val="20"/>
          <w:szCs w:val="20"/>
        </w:rPr>
        <w:t> </w:t>
      </w:r>
      <w:r w:rsidRPr="008719F7">
        <w:rPr>
          <w:rFonts w:ascii="Arial" w:eastAsia="Calibri" w:hAnsi="Arial" w:cs="Arial"/>
          <w:color w:val="000000"/>
          <w:sz w:val="20"/>
          <w:szCs w:val="20"/>
        </w:rPr>
        <w:t>elektronické podobě.</w:t>
      </w:r>
    </w:p>
    <w:p w14:paraId="46110F67" w14:textId="5BD5B638" w:rsidR="004464B4" w:rsidRPr="008719F7" w:rsidRDefault="004464B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zajistit označení každého originálu účetního dokladu, který dokládá výdaj </w:t>
      </w:r>
      <w:r w:rsidR="004D12F0" w:rsidRPr="008719F7">
        <w:rPr>
          <w:rFonts w:ascii="Arial" w:eastAsia="Calibri" w:hAnsi="Arial" w:cs="Arial"/>
          <w:color w:val="000000"/>
          <w:sz w:val="20"/>
          <w:szCs w:val="20"/>
        </w:rPr>
        <w:t>týkající se Vzdělávacích aktivit</w:t>
      </w:r>
      <w:r w:rsidRPr="008719F7">
        <w:rPr>
          <w:rFonts w:ascii="Arial" w:eastAsia="Calibri" w:hAnsi="Arial" w:cs="Arial"/>
          <w:color w:val="000000"/>
          <w:sz w:val="20"/>
          <w:szCs w:val="20"/>
        </w:rPr>
        <w:t xml:space="preserve">, </w:t>
      </w:r>
      <w:r w:rsidR="00D93DC5" w:rsidRPr="008719F7">
        <w:rPr>
          <w:rFonts w:ascii="Arial" w:eastAsia="Calibri" w:hAnsi="Arial" w:cs="Arial"/>
          <w:color w:val="000000"/>
          <w:sz w:val="20"/>
          <w:szCs w:val="20"/>
        </w:rPr>
        <w:t>dle Metodiky</w:t>
      </w:r>
      <w:r w:rsidRPr="008719F7">
        <w:rPr>
          <w:rFonts w:ascii="Arial" w:eastAsia="Calibri" w:hAnsi="Arial" w:cs="Arial"/>
          <w:color w:val="000000"/>
          <w:sz w:val="20"/>
          <w:szCs w:val="20"/>
        </w:rPr>
        <w:t>.</w:t>
      </w:r>
    </w:p>
    <w:p w14:paraId="54258D24" w14:textId="77777777" w:rsidR="00C9612C" w:rsidRPr="008719F7" w:rsidRDefault="00C9612C" w:rsidP="004464B4">
      <w:pPr>
        <w:pBdr>
          <w:top w:val="nil"/>
          <w:left w:val="nil"/>
          <w:bottom w:val="nil"/>
          <w:right w:val="nil"/>
          <w:between w:val="nil"/>
        </w:pBdr>
        <w:spacing w:after="120" w:line="276" w:lineRule="auto"/>
        <w:contextualSpacing/>
        <w:rPr>
          <w:rFonts w:ascii="Arial" w:eastAsia="Calibri" w:hAnsi="Arial" w:cs="Arial"/>
          <w:color w:val="000000"/>
          <w:sz w:val="20"/>
          <w:szCs w:val="20"/>
        </w:rPr>
      </w:pPr>
    </w:p>
    <w:p w14:paraId="18DCA3E8" w14:textId="77777777" w:rsidR="009974F4" w:rsidRPr="008719F7" w:rsidRDefault="009974F4"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Kontrola/audit</w:t>
      </w:r>
    </w:p>
    <w:p w14:paraId="1082192C" w14:textId="6F382E3C" w:rsidR="009974F4" w:rsidRPr="008719F7" w:rsidRDefault="009974F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Příjemce je povinen za účelem ověření plnění povinností vyplývajících z tohoto Rozhodnutí vytvořit podmínky k provedení kontroly vztahující se k poskytovaným prostředkům, poskytnout oprávněným osobám veškeré doklady vážící se k poskytnutým prostředkům</w:t>
      </w:r>
      <w:r w:rsidR="006B1F22"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umožnit průběžné ověřování souladu údajů o </w:t>
      </w:r>
      <w:r w:rsidR="00902E39" w:rsidRPr="008719F7">
        <w:rPr>
          <w:rFonts w:ascii="Arial" w:eastAsia="Calibri" w:hAnsi="Arial" w:cs="Arial"/>
          <w:color w:val="000000"/>
          <w:sz w:val="20"/>
          <w:szCs w:val="20"/>
        </w:rPr>
        <w:t>plnění</w:t>
      </w:r>
      <w:r w:rsidRPr="008719F7">
        <w:rPr>
          <w:rFonts w:ascii="Arial" w:eastAsia="Calibri" w:hAnsi="Arial" w:cs="Arial"/>
          <w:color w:val="000000"/>
          <w:sz w:val="20"/>
          <w:szCs w:val="20"/>
        </w:rPr>
        <w:t xml:space="preserve"> účelu dotace uváděných v dokument</w:t>
      </w:r>
      <w:r w:rsidR="00902E39" w:rsidRPr="008719F7">
        <w:rPr>
          <w:rFonts w:ascii="Arial" w:eastAsia="Calibri" w:hAnsi="Arial" w:cs="Arial"/>
          <w:color w:val="000000"/>
          <w:sz w:val="20"/>
          <w:szCs w:val="20"/>
        </w:rPr>
        <w:t>aci</w:t>
      </w:r>
      <w:r w:rsidRPr="008719F7">
        <w:rPr>
          <w:rFonts w:ascii="Arial" w:eastAsia="Calibri" w:hAnsi="Arial" w:cs="Arial"/>
          <w:color w:val="000000"/>
          <w:sz w:val="20"/>
          <w:szCs w:val="20"/>
        </w:rPr>
        <w:t xml:space="preserve"> předkládan</w:t>
      </w:r>
      <w:r w:rsidR="00902E39" w:rsidRPr="008719F7">
        <w:rPr>
          <w:rFonts w:ascii="Arial" w:eastAsia="Calibri" w:hAnsi="Arial" w:cs="Arial"/>
          <w:color w:val="000000"/>
          <w:sz w:val="20"/>
          <w:szCs w:val="20"/>
        </w:rPr>
        <w:t>ou</w:t>
      </w:r>
      <w:r w:rsidRPr="008719F7">
        <w:rPr>
          <w:rFonts w:ascii="Arial" w:eastAsia="Calibri" w:hAnsi="Arial" w:cs="Arial"/>
          <w:color w:val="000000"/>
          <w:sz w:val="20"/>
          <w:szCs w:val="20"/>
        </w:rPr>
        <w:t xml:space="preserve"> za příslušná monitorovací období se skutečným stavem a poskytnout součinnost všem osobám oprávněným k</w:t>
      </w:r>
      <w:r w:rsidR="004D12F0" w:rsidRPr="008719F7">
        <w:rPr>
          <w:rFonts w:ascii="Arial" w:eastAsia="Calibri" w:hAnsi="Arial" w:cs="Arial"/>
          <w:color w:val="000000"/>
          <w:sz w:val="20"/>
          <w:szCs w:val="20"/>
        </w:rPr>
        <w:t> </w:t>
      </w:r>
      <w:r w:rsidRPr="008719F7">
        <w:rPr>
          <w:rFonts w:ascii="Arial" w:eastAsia="Calibri" w:hAnsi="Arial" w:cs="Arial"/>
          <w:color w:val="000000"/>
          <w:sz w:val="20"/>
          <w:szCs w:val="20"/>
        </w:rPr>
        <w:t xml:space="preserve">provádění kontroly. Těmito oprávněnými osobami jsou Poskytovatel dotace, </w:t>
      </w:r>
      <w:r w:rsidR="006B1F22" w:rsidRPr="008719F7">
        <w:rPr>
          <w:rFonts w:ascii="Arial" w:eastAsia="Calibri" w:hAnsi="Arial" w:cs="Arial"/>
          <w:color w:val="000000"/>
          <w:sz w:val="20"/>
          <w:szCs w:val="20"/>
        </w:rPr>
        <w:t>MPSV</w:t>
      </w:r>
      <w:r w:rsidRPr="008719F7">
        <w:rPr>
          <w:rFonts w:ascii="Arial" w:eastAsia="Calibri" w:hAnsi="Arial" w:cs="Arial"/>
          <w:color w:val="000000"/>
          <w:sz w:val="20"/>
          <w:szCs w:val="20"/>
        </w:rPr>
        <w:t>, územní finanční orgány, Ministerstvo financí, Nejvyšší kontrolní úřad, Evropská komise a</w:t>
      </w:r>
      <w:r w:rsidR="00B1386A" w:rsidRPr="008719F7">
        <w:rPr>
          <w:rFonts w:ascii="Arial" w:eastAsia="Calibri" w:hAnsi="Arial" w:cs="Arial"/>
          <w:color w:val="000000"/>
          <w:sz w:val="20"/>
          <w:szCs w:val="20"/>
        </w:rPr>
        <w:t> </w:t>
      </w:r>
      <w:r w:rsidRPr="008719F7">
        <w:rPr>
          <w:rFonts w:ascii="Arial" w:eastAsia="Calibri" w:hAnsi="Arial" w:cs="Arial"/>
          <w:color w:val="000000"/>
          <w:sz w:val="20"/>
          <w:szCs w:val="20"/>
        </w:rPr>
        <w:t>Evropský účetní dvůr, případně další orgány oprávněné k výkonu kontroly.</w:t>
      </w:r>
    </w:p>
    <w:p w14:paraId="36CF2CE3" w14:textId="35B900E5" w:rsidR="004464B4" w:rsidRPr="008719F7" w:rsidRDefault="004464B4"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vytvořit podmínky k provedení monitorovací návštěvy </w:t>
      </w:r>
      <w:r w:rsidR="004D12F0" w:rsidRPr="008719F7">
        <w:rPr>
          <w:rFonts w:ascii="Arial" w:eastAsia="Calibri" w:hAnsi="Arial" w:cs="Arial"/>
          <w:color w:val="000000"/>
          <w:sz w:val="20"/>
          <w:szCs w:val="20"/>
        </w:rPr>
        <w:t>vztahující se k poskytovaným prostředkům</w:t>
      </w:r>
      <w:r w:rsidRPr="008719F7">
        <w:rPr>
          <w:rFonts w:ascii="Arial" w:eastAsia="Calibri" w:hAnsi="Arial" w:cs="Arial"/>
          <w:color w:val="000000"/>
          <w:sz w:val="20"/>
          <w:szCs w:val="20"/>
        </w:rPr>
        <w:t xml:space="preserve"> ze strany Poskytovatele dotace. Monitorovací návštěva je </w:t>
      </w:r>
      <w:r w:rsidRPr="008719F7">
        <w:rPr>
          <w:rFonts w:ascii="Arial" w:eastAsia="Calibri" w:hAnsi="Arial" w:cs="Arial"/>
          <w:color w:val="000000"/>
          <w:sz w:val="20"/>
          <w:szCs w:val="20"/>
        </w:rPr>
        <w:lastRenderedPageBreak/>
        <w:t>úkonem předcházejícím případné veřejnosprávní kontrole podle § 3 zákona č.</w:t>
      </w:r>
      <w:r w:rsidR="004D12F0" w:rsidRPr="008719F7">
        <w:rPr>
          <w:rFonts w:ascii="Arial" w:eastAsia="Calibri" w:hAnsi="Arial" w:cs="Arial"/>
          <w:color w:val="000000"/>
          <w:sz w:val="20"/>
          <w:szCs w:val="20"/>
        </w:rPr>
        <w:t> </w:t>
      </w:r>
      <w:r w:rsidRPr="008719F7">
        <w:rPr>
          <w:rFonts w:ascii="Arial" w:eastAsia="Calibri" w:hAnsi="Arial" w:cs="Arial"/>
          <w:color w:val="000000"/>
          <w:sz w:val="20"/>
          <w:szCs w:val="20"/>
        </w:rPr>
        <w:t>255/2012 Sb., o kontrole (kontrolní řád), ve znění pozdějších předpisů.</w:t>
      </w:r>
    </w:p>
    <w:p w14:paraId="156428A3" w14:textId="77777777" w:rsidR="001768B2" w:rsidRPr="008719F7" w:rsidRDefault="001768B2" w:rsidP="001768B2">
      <w:pPr>
        <w:pBdr>
          <w:top w:val="nil"/>
          <w:left w:val="nil"/>
          <w:bottom w:val="nil"/>
          <w:right w:val="nil"/>
          <w:between w:val="nil"/>
        </w:pBdr>
        <w:spacing w:after="120" w:line="276" w:lineRule="auto"/>
        <w:ind w:left="720"/>
        <w:rPr>
          <w:rFonts w:ascii="Arial" w:eastAsia="Calibri" w:hAnsi="Arial" w:cs="Arial"/>
          <w:color w:val="000000"/>
          <w:sz w:val="20"/>
          <w:szCs w:val="20"/>
        </w:rPr>
      </w:pPr>
    </w:p>
    <w:p w14:paraId="1F64A857" w14:textId="77777777" w:rsidR="001768B2" w:rsidRPr="008719F7" w:rsidRDefault="001768B2"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Finanční vypořádání dotace</w:t>
      </w:r>
    </w:p>
    <w:p w14:paraId="739AD5DD" w14:textId="4D2DB883" w:rsidR="001768B2" w:rsidRPr="008719F7" w:rsidRDefault="001768B2" w:rsidP="001768B2">
      <w:pPr>
        <w:keepNext/>
        <w:spacing w:after="120" w:line="276" w:lineRule="auto"/>
        <w:rPr>
          <w:rFonts w:ascii="Arial" w:eastAsia="Calibri" w:hAnsi="Arial" w:cs="Arial"/>
          <w:sz w:val="20"/>
          <w:szCs w:val="20"/>
        </w:rPr>
      </w:pPr>
      <w:r w:rsidRPr="008719F7">
        <w:rPr>
          <w:rFonts w:ascii="Arial" w:eastAsia="Calibri" w:hAnsi="Arial" w:cs="Arial"/>
          <w:sz w:val="20"/>
          <w:szCs w:val="20"/>
        </w:rPr>
        <w:t>Příjemce je povinen dotaci finančně vypořádat v souladu s Rozpočtovými pravidly a vyhláškou č. 367/2015 Sb., o zásadách a lhůtách finančního vypořádání vztahů se státním rozpočtem, státními finančními aktivy a Národním fondem (vyhláška o finančním vypořádání), v platném znění, a to po ukončení dotace.</w:t>
      </w:r>
    </w:p>
    <w:p w14:paraId="160B6B56" w14:textId="77777777" w:rsidR="001768B2" w:rsidRPr="008719F7" w:rsidRDefault="001768B2" w:rsidP="001768B2">
      <w:pPr>
        <w:pBdr>
          <w:top w:val="nil"/>
          <w:left w:val="nil"/>
          <w:bottom w:val="nil"/>
          <w:right w:val="nil"/>
          <w:between w:val="nil"/>
        </w:pBdr>
        <w:spacing w:after="120" w:line="276" w:lineRule="auto"/>
        <w:contextualSpacing/>
        <w:rPr>
          <w:rFonts w:ascii="Arial" w:eastAsia="Calibri" w:hAnsi="Arial" w:cs="Arial"/>
          <w:color w:val="000000"/>
          <w:sz w:val="20"/>
          <w:szCs w:val="20"/>
        </w:rPr>
      </w:pPr>
    </w:p>
    <w:p w14:paraId="4F217305" w14:textId="77777777" w:rsidR="001768B2" w:rsidRPr="008719F7" w:rsidRDefault="001768B2"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Uchovávání dokumentů</w:t>
      </w:r>
    </w:p>
    <w:p w14:paraId="51466A2C" w14:textId="210FF9A5" w:rsidR="001768B2" w:rsidRPr="008719F7" w:rsidRDefault="001768B2" w:rsidP="001768B2">
      <w:pPr>
        <w:keepNext/>
        <w:spacing w:after="120" w:line="276" w:lineRule="auto"/>
        <w:rPr>
          <w:rFonts w:ascii="Arial" w:eastAsia="Calibri" w:hAnsi="Arial" w:cs="Arial"/>
          <w:sz w:val="20"/>
          <w:szCs w:val="20"/>
        </w:rPr>
      </w:pPr>
      <w:r w:rsidRPr="008719F7">
        <w:rPr>
          <w:rFonts w:ascii="Arial" w:eastAsia="Calibri" w:hAnsi="Arial" w:cs="Arial"/>
          <w:sz w:val="20"/>
          <w:szCs w:val="20"/>
        </w:rPr>
        <w:t xml:space="preserve">Příjemce je povinen uchovat veškeré dokumenty související s plněním účelu dotace v souladu s platnými právními předpisy ČR a zároveň minimálně po dobu deseti let od ukončení realizace projektu </w:t>
      </w:r>
      <w:r w:rsidR="00C62720" w:rsidRPr="008719F7">
        <w:rPr>
          <w:rFonts w:ascii="Arial" w:eastAsia="Calibri" w:hAnsi="Arial" w:cs="Arial"/>
          <w:sz w:val="20"/>
          <w:szCs w:val="20"/>
        </w:rPr>
        <w:t>„</w:t>
      </w:r>
      <w:r w:rsidRPr="008719F7">
        <w:rPr>
          <w:rFonts w:ascii="Arial" w:eastAsia="Calibri" w:hAnsi="Arial" w:cs="Arial"/>
          <w:sz w:val="20"/>
          <w:szCs w:val="20"/>
        </w:rPr>
        <w:t>Specializační vzdělávání v oboru dětská neurologie</w:t>
      </w:r>
      <w:r w:rsidR="00C62720" w:rsidRPr="008719F7">
        <w:rPr>
          <w:rFonts w:ascii="Arial" w:eastAsia="Calibri" w:hAnsi="Arial" w:cs="Arial"/>
          <w:sz w:val="20"/>
          <w:szCs w:val="20"/>
        </w:rPr>
        <w:t>“</w:t>
      </w:r>
      <w:r w:rsidRPr="008719F7">
        <w:rPr>
          <w:rFonts w:ascii="Arial" w:eastAsia="Calibri" w:hAnsi="Arial" w:cs="Arial"/>
          <w:sz w:val="20"/>
          <w:szCs w:val="20"/>
        </w:rPr>
        <w:t xml:space="preserve">, </w:t>
      </w:r>
      <w:proofErr w:type="spellStart"/>
      <w:r w:rsidRPr="008719F7">
        <w:rPr>
          <w:rFonts w:ascii="Arial" w:eastAsia="Calibri" w:hAnsi="Arial" w:cs="Arial"/>
          <w:sz w:val="20"/>
          <w:szCs w:val="20"/>
        </w:rPr>
        <w:t>reg</w:t>
      </w:r>
      <w:proofErr w:type="spellEnd"/>
      <w:r w:rsidRPr="008719F7">
        <w:rPr>
          <w:rFonts w:ascii="Arial" w:eastAsia="Calibri" w:hAnsi="Arial" w:cs="Arial"/>
          <w:sz w:val="20"/>
          <w:szCs w:val="20"/>
        </w:rPr>
        <w:t>. č</w:t>
      </w:r>
      <w:r w:rsidR="00C62720" w:rsidRPr="008719F7">
        <w:rPr>
          <w:rFonts w:ascii="Arial" w:eastAsia="Calibri" w:hAnsi="Arial" w:cs="Arial"/>
          <w:sz w:val="20"/>
          <w:szCs w:val="20"/>
        </w:rPr>
        <w:t>íslo</w:t>
      </w:r>
      <w:r w:rsidRPr="008719F7">
        <w:rPr>
          <w:rFonts w:ascii="Arial" w:eastAsia="Calibri" w:hAnsi="Arial" w:cs="Arial"/>
          <w:sz w:val="20"/>
          <w:szCs w:val="20"/>
        </w:rPr>
        <w:t>:</w:t>
      </w:r>
      <w:r w:rsidR="00C62720" w:rsidRPr="008719F7">
        <w:rPr>
          <w:rFonts w:ascii="Arial" w:eastAsia="Calibri" w:hAnsi="Arial" w:cs="Arial"/>
          <w:sz w:val="20"/>
          <w:szCs w:val="20"/>
        </w:rPr>
        <w:t xml:space="preserve"> </w:t>
      </w:r>
      <w:r w:rsidRPr="008719F7">
        <w:rPr>
          <w:rFonts w:ascii="Arial" w:eastAsia="Calibri" w:hAnsi="Arial" w:cs="Arial"/>
          <w:sz w:val="20"/>
          <w:szCs w:val="20"/>
        </w:rPr>
        <w:t>CZ.03.2.63/0.0/0.0/15_039/0008219.</w:t>
      </w:r>
      <w:bookmarkStart w:id="5" w:name="_Ref29739571"/>
      <w:r w:rsidRPr="008719F7">
        <w:rPr>
          <w:rStyle w:val="Znakapoznpodarou"/>
          <w:rFonts w:ascii="Arial" w:eastAsia="Calibri" w:hAnsi="Arial" w:cs="Arial"/>
          <w:sz w:val="20"/>
          <w:szCs w:val="20"/>
        </w:rPr>
        <w:footnoteReference w:id="4"/>
      </w:r>
      <w:bookmarkEnd w:id="5"/>
      <w:r w:rsidRPr="008719F7">
        <w:rPr>
          <w:rFonts w:ascii="Arial" w:eastAsia="Calibri" w:hAnsi="Arial" w:cs="Arial"/>
          <w:sz w:val="20"/>
          <w:szCs w:val="20"/>
        </w:rPr>
        <w:t xml:space="preserve"> </w:t>
      </w:r>
    </w:p>
    <w:p w14:paraId="7E2496F4" w14:textId="77777777" w:rsidR="001768B2" w:rsidRPr="008719F7" w:rsidRDefault="001768B2" w:rsidP="001768B2">
      <w:pPr>
        <w:keepNext/>
        <w:spacing w:after="120" w:line="276" w:lineRule="auto"/>
        <w:rPr>
          <w:rFonts w:ascii="Arial" w:eastAsia="Calibri" w:hAnsi="Arial" w:cs="Arial"/>
          <w:sz w:val="20"/>
          <w:szCs w:val="20"/>
        </w:rPr>
      </w:pPr>
    </w:p>
    <w:p w14:paraId="2C2F25FC" w14:textId="77777777" w:rsidR="001768B2" w:rsidRPr="008719F7" w:rsidRDefault="001768B2"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Informační a komunikační opatření </w:t>
      </w:r>
    </w:p>
    <w:p w14:paraId="27D103E6" w14:textId="77777777" w:rsidR="001768B2" w:rsidRPr="008719F7" w:rsidRDefault="001768B2"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umístit v místě realizace dotace alespoň jeden povinný plakát velikosti minimálně A3 s informacemi o Projektu a jeho financování. Podoba plakátu musí být v souladu s Metodikou. </w:t>
      </w:r>
    </w:p>
    <w:p w14:paraId="188F4FBF" w14:textId="15336540" w:rsidR="001768B2" w:rsidRPr="008719F7" w:rsidRDefault="001768B2"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provádět </w:t>
      </w:r>
      <w:bookmarkStart w:id="6" w:name="_Hlk29739102"/>
      <w:r w:rsidRPr="008719F7">
        <w:rPr>
          <w:rFonts w:ascii="Arial" w:eastAsia="Calibri" w:hAnsi="Arial" w:cs="Arial"/>
          <w:color w:val="000000"/>
          <w:sz w:val="20"/>
          <w:szCs w:val="20"/>
        </w:rPr>
        <w:t xml:space="preserve">další informační a komunikační opatření vztahující se </w:t>
      </w:r>
      <w:bookmarkEnd w:id="6"/>
      <w:r w:rsidRPr="008719F7">
        <w:rPr>
          <w:rFonts w:ascii="Arial" w:eastAsia="Calibri" w:hAnsi="Arial" w:cs="Arial"/>
          <w:color w:val="000000"/>
          <w:sz w:val="20"/>
          <w:szCs w:val="20"/>
        </w:rPr>
        <w:t>k</w:t>
      </w:r>
      <w:r w:rsidR="00F31D8F" w:rsidRPr="008719F7">
        <w:rPr>
          <w:rFonts w:ascii="Arial" w:eastAsia="Calibri" w:hAnsi="Arial" w:cs="Arial"/>
          <w:color w:val="000000"/>
          <w:sz w:val="20"/>
          <w:szCs w:val="20"/>
        </w:rPr>
        <w:t> </w:t>
      </w:r>
      <w:r w:rsidRPr="008719F7">
        <w:rPr>
          <w:rFonts w:ascii="Arial" w:eastAsia="Calibri" w:hAnsi="Arial" w:cs="Arial"/>
          <w:color w:val="000000"/>
          <w:sz w:val="20"/>
          <w:szCs w:val="20"/>
        </w:rPr>
        <w:t>Vzdělávacím aktivitám v průběhu plnění dotace dle Metodiky.</w:t>
      </w:r>
    </w:p>
    <w:p w14:paraId="4CF306E9" w14:textId="7903CA49" w:rsidR="001768B2" w:rsidRPr="008719F7" w:rsidRDefault="001768B2"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zajistit nápravu nedostatků týkajících se provádění informačních a komunikačních opatření ve lhůtě a způsobem specifikovanými ve výzvě k provedení této nápravy, kterou Příjemci adresuje Poskytovatel dotace. </w:t>
      </w:r>
    </w:p>
    <w:p w14:paraId="2174574B" w14:textId="0745ACFE" w:rsidR="001768B2" w:rsidRPr="008719F7" w:rsidRDefault="001768B2" w:rsidP="001768B2">
      <w:pPr>
        <w:pBdr>
          <w:top w:val="nil"/>
          <w:left w:val="nil"/>
          <w:bottom w:val="nil"/>
          <w:right w:val="nil"/>
          <w:between w:val="nil"/>
        </w:pBdr>
        <w:spacing w:after="120" w:line="276" w:lineRule="auto"/>
        <w:ind w:left="720"/>
        <w:rPr>
          <w:rFonts w:ascii="Arial" w:eastAsia="Calibri" w:hAnsi="Arial" w:cs="Arial"/>
          <w:color w:val="000000"/>
          <w:sz w:val="20"/>
          <w:szCs w:val="20"/>
        </w:rPr>
      </w:pPr>
    </w:p>
    <w:p w14:paraId="01BD7D96" w14:textId="77777777" w:rsidR="001768B2" w:rsidRPr="008719F7" w:rsidRDefault="001768B2"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Práva duševního vlastnictví </w:t>
      </w:r>
    </w:p>
    <w:p w14:paraId="5D87983D" w14:textId="77777777" w:rsidR="001768B2" w:rsidRPr="008719F7" w:rsidRDefault="001768B2" w:rsidP="001768B2">
      <w:pPr>
        <w:spacing w:after="120" w:line="276" w:lineRule="auto"/>
        <w:rPr>
          <w:rFonts w:ascii="Arial" w:eastAsia="Calibri" w:hAnsi="Arial" w:cs="Arial"/>
          <w:sz w:val="20"/>
          <w:szCs w:val="20"/>
        </w:rPr>
      </w:pPr>
      <w:r w:rsidRPr="008719F7">
        <w:rPr>
          <w:rFonts w:ascii="Arial" w:eastAsia="Calibri" w:hAnsi="Arial" w:cs="Arial"/>
          <w:sz w:val="20"/>
          <w:szCs w:val="20"/>
        </w:rPr>
        <w:t>Příjemce je povinen Poskytovateli dotace a MPSV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je Příjemce povinen ve smlouvě uzavřené s dodavatelem zajistit pro Poskytovatele dotace a MPSV neomezenou bezplatnou licenci k užití těchto práv včetně možnosti zcela nebo zčásti poskytnout třetí osobě oprávnění tvořící součást licence.</w:t>
      </w:r>
    </w:p>
    <w:p w14:paraId="35E85792" w14:textId="77777777" w:rsidR="001768B2" w:rsidRPr="008719F7" w:rsidRDefault="001768B2" w:rsidP="001768B2">
      <w:pPr>
        <w:spacing w:after="120" w:line="276" w:lineRule="auto"/>
        <w:rPr>
          <w:rFonts w:ascii="Arial" w:eastAsia="Calibri" w:hAnsi="Arial" w:cs="Arial"/>
          <w:sz w:val="20"/>
          <w:szCs w:val="20"/>
        </w:rPr>
      </w:pPr>
    </w:p>
    <w:p w14:paraId="27E5FC4D" w14:textId="77777777" w:rsidR="004464B4" w:rsidRPr="008719F7" w:rsidRDefault="004464B4"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lastRenderedPageBreak/>
        <w:t xml:space="preserve">Péče o majetek </w:t>
      </w:r>
    </w:p>
    <w:p w14:paraId="3D0CE15A" w14:textId="7FEE5A93" w:rsidR="004464B4" w:rsidRPr="008719F7" w:rsidRDefault="004464B4" w:rsidP="004D12F0">
      <w:pPr>
        <w:keepNext/>
        <w:spacing w:after="120" w:line="276" w:lineRule="auto"/>
        <w:rPr>
          <w:rFonts w:ascii="Arial" w:eastAsia="Calibri" w:hAnsi="Arial" w:cs="Arial"/>
          <w:sz w:val="20"/>
          <w:szCs w:val="20"/>
        </w:rPr>
      </w:pPr>
      <w:r w:rsidRPr="008719F7">
        <w:rPr>
          <w:rFonts w:ascii="Arial" w:eastAsia="Calibri" w:hAnsi="Arial" w:cs="Arial"/>
          <w:sz w:val="20"/>
          <w:szCs w:val="20"/>
        </w:rPr>
        <w:t xml:space="preserve">Příjemce je povinen po dobu </w:t>
      </w:r>
      <w:r w:rsidR="00472BC6" w:rsidRPr="008719F7">
        <w:rPr>
          <w:rFonts w:ascii="Arial" w:eastAsia="Calibri" w:hAnsi="Arial" w:cs="Arial"/>
          <w:sz w:val="20"/>
          <w:szCs w:val="20"/>
        </w:rPr>
        <w:t>plnění účelu dotace</w:t>
      </w:r>
      <w:r w:rsidRPr="008719F7">
        <w:rPr>
          <w:rFonts w:ascii="Arial" w:eastAsia="Calibri" w:hAnsi="Arial" w:cs="Arial"/>
          <w:sz w:val="20"/>
          <w:szCs w:val="20"/>
        </w:rPr>
        <w:t xml:space="preserve"> zacházet s majetkem financovaným z dotace, pokud takový existuje, s péčí řádného hospodáře, zejména jej zabezpečit proti poškození, ztrátě nebo odcizení a nezatěžovat takový majetek žádnými věcnými právy třetích osob, včetně zástavního práva. Povinnost podle předchozí věty se netýká spotřebního materiálu.</w:t>
      </w:r>
    </w:p>
    <w:p w14:paraId="7A33F375" w14:textId="3404B68B" w:rsidR="0074244A" w:rsidRPr="008719F7" w:rsidRDefault="0074244A" w:rsidP="001958E6">
      <w:pPr>
        <w:pBdr>
          <w:top w:val="nil"/>
          <w:left w:val="nil"/>
          <w:bottom w:val="nil"/>
          <w:right w:val="nil"/>
          <w:between w:val="nil"/>
        </w:pBdr>
        <w:spacing w:after="120" w:line="276" w:lineRule="auto"/>
        <w:rPr>
          <w:rFonts w:ascii="Arial" w:eastAsia="Calibri" w:hAnsi="Arial" w:cs="Arial"/>
          <w:sz w:val="20"/>
          <w:szCs w:val="20"/>
        </w:rPr>
      </w:pPr>
    </w:p>
    <w:p w14:paraId="6456F177" w14:textId="77777777" w:rsidR="00FD3788" w:rsidRPr="008719F7" w:rsidRDefault="00FD3788"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 xml:space="preserve">Ochrana osobních údajů </w:t>
      </w:r>
    </w:p>
    <w:p w14:paraId="74F79508" w14:textId="4216EE0C" w:rsidR="00FD3788" w:rsidRPr="008719F7" w:rsidRDefault="00FD3788"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Times New Roman" w:hAnsi="Arial" w:cs="Arial"/>
          <w:color w:val="000000"/>
          <w:sz w:val="20"/>
          <w:szCs w:val="20"/>
        </w:rPr>
        <w:t>Poskytovatel dotace je na základě Podmínek použití podpory z Operačního programu Zaměstnanost pověřen ke zpracování osobních údajů včetně zvláštní kategorie osobních údajů (dále jen „osobní údaje“) podpořených osob v rámci Projektu (tj. účastníků), a</w:t>
      </w:r>
      <w:r w:rsidR="00E41919"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to za účelem prokázání řádného a efektivního nakládání s prostředky Evropského sociálního fondu, které byly poskytnuty z Operačního programu Zaměstnanost (dále jen „OPZ“).</w:t>
      </w:r>
    </w:p>
    <w:p w14:paraId="0A8FCE01" w14:textId="36481850" w:rsidR="00FD3788" w:rsidRPr="008719F7" w:rsidRDefault="00FD3788"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Times New Roman" w:hAnsi="Arial" w:cs="Arial"/>
          <w:color w:val="000000"/>
          <w:sz w:val="20"/>
          <w:szCs w:val="20"/>
        </w:rPr>
        <w:t>Na základě výše uvedeného je Poskytovatel dotace zpracovatelem osobních údajů ve smyslu čl. 6 odst. 1 písm. c) a článku 9 odst. 2 písm. g) nařízení Evropského parlamentu a Rady (EU) 2016/679 ze dne 27. dubna 2016, o ochraně fyzických osob v</w:t>
      </w:r>
      <w:r w:rsidR="00FC5AA8"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souvislosti se zpracováním osobních údajů a o volném pohybu těchto údajů a</w:t>
      </w:r>
      <w:r w:rsidR="0074244A"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o</w:t>
      </w:r>
      <w:r w:rsidR="0074244A"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zrušení směrnice 95/46/ES (dále jen „Obecné nařízení o ochraně osobních údajů“), oprávněným zpracovávat osobní údaje podpořených osob na základě nařízení Evropského parlamentu a Rady (EU) č. 1304/2013 ze dne 17. prosince 2013 o Evropském sociálním fondu a</w:t>
      </w:r>
      <w:r w:rsidR="00FC5AA8"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o</w:t>
      </w:r>
      <w:r w:rsidR="00FC5AA8"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zrušení nařízení Rady (ES) č. 1081/2006, zejména jeho přílohy I (dále jen „Nařízení o</w:t>
      </w:r>
      <w:r w:rsidR="00FC5AA8"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ESF“).</w:t>
      </w:r>
    </w:p>
    <w:p w14:paraId="23BBE1A8" w14:textId="77777777" w:rsidR="00FD3788" w:rsidRPr="008719F7" w:rsidRDefault="00FD3788"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Times New Roman" w:hAnsi="Arial" w:cs="Arial"/>
          <w:color w:val="000000"/>
          <w:sz w:val="20"/>
          <w:szCs w:val="20"/>
        </w:rPr>
        <w:t>Poskytovatel dotace tímto Rozhodnutím v souladu s článkem 28 odst. 2 a 3 Obecného nařízení o ochraně osobních údajů pověřuje Příjemce jakožto dalšího zpracovatele ke zpracování osobních údajů podpořených osob za účelem prokázání řádného a efektivního nakládání s prostředky Evropského sociálního fondu, a to v nezbytném rozsahu stanoveném dále v tomto Rozhodnutí. Poskytovatel dotace zároveň prohlašuje, že pro zapojení dalšího zpracovatele do zpracování osobních údajů podpořených osob jsou splněny podmínky článku 28 odst. 2 Obecného nařízení o ochraně osobních údajů.</w:t>
      </w:r>
    </w:p>
    <w:p w14:paraId="1132B4D2" w14:textId="270FC9C2" w:rsidR="00FD3788" w:rsidRPr="008719F7" w:rsidRDefault="00FD3788" w:rsidP="00BF5EE7">
      <w:pPr>
        <w:numPr>
          <w:ilvl w:val="1"/>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bookmarkStart w:id="7" w:name="_Ref29805511"/>
      <w:r w:rsidRPr="008719F7">
        <w:rPr>
          <w:rFonts w:ascii="Arial" w:eastAsia="Times New Roman" w:hAnsi="Arial" w:cs="Arial"/>
          <w:color w:val="000000"/>
          <w:sz w:val="20"/>
          <w:szCs w:val="20"/>
        </w:rPr>
        <w:t>Příjemce je jako další zpracovatel oprávněn zpracovávat osobní údaje podpořených osob bez jejich souhlasu, a to na základě</w:t>
      </w:r>
      <w:bookmarkEnd w:id="7"/>
      <w:r w:rsidRPr="008719F7">
        <w:rPr>
          <w:rFonts w:ascii="Arial" w:eastAsia="Times New Roman" w:hAnsi="Arial" w:cs="Arial"/>
          <w:color w:val="000000"/>
          <w:sz w:val="20"/>
          <w:szCs w:val="20"/>
        </w:rPr>
        <w:t xml:space="preserve"> </w:t>
      </w:r>
    </w:p>
    <w:p w14:paraId="46872A24" w14:textId="409EB12F" w:rsidR="00FD3788" w:rsidRPr="008719F7" w:rsidRDefault="00FD3788" w:rsidP="00995E23">
      <w:pPr>
        <w:numPr>
          <w:ilvl w:val="2"/>
          <w:numId w:val="8"/>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článku 6 odst. 1 písm. c) Obecného nařízení o ochraně osobních údajů, kdy právní povinnost pro zpracování</w:t>
      </w:r>
      <w:r w:rsidR="006F37E4" w:rsidRPr="008719F7">
        <w:rPr>
          <w:rFonts w:ascii="Arial" w:eastAsia="Times New Roman" w:hAnsi="Arial" w:cs="Arial"/>
          <w:color w:val="000000"/>
          <w:sz w:val="20"/>
          <w:szCs w:val="20"/>
        </w:rPr>
        <w:t xml:space="preserve"> </w:t>
      </w:r>
      <w:r w:rsidRPr="008719F7">
        <w:rPr>
          <w:rFonts w:ascii="Arial" w:eastAsia="Times New Roman" w:hAnsi="Arial" w:cs="Arial"/>
          <w:color w:val="000000"/>
          <w:sz w:val="20"/>
          <w:szCs w:val="20"/>
        </w:rPr>
        <w:t>osobních údajů</w:t>
      </w:r>
      <w:r w:rsidR="006F37E4" w:rsidRPr="008719F7">
        <w:rPr>
          <w:rFonts w:ascii="Arial" w:eastAsia="Times New Roman" w:hAnsi="Arial" w:cs="Arial"/>
          <w:color w:val="000000"/>
          <w:sz w:val="20"/>
          <w:szCs w:val="20"/>
        </w:rPr>
        <w:t xml:space="preserve"> </w:t>
      </w:r>
      <w:r w:rsidRPr="008719F7">
        <w:rPr>
          <w:rFonts w:ascii="Arial" w:eastAsia="Times New Roman" w:hAnsi="Arial" w:cs="Arial"/>
          <w:color w:val="000000"/>
          <w:sz w:val="20"/>
          <w:szCs w:val="20"/>
        </w:rPr>
        <w:t xml:space="preserve">podpořených osob vyplývá z Nařízení </w:t>
      </w:r>
      <w:r w:rsidR="00C30524" w:rsidRPr="008719F7">
        <w:rPr>
          <w:rFonts w:ascii="Arial" w:eastAsia="Times New Roman" w:hAnsi="Arial" w:cs="Arial"/>
          <w:color w:val="000000"/>
          <w:sz w:val="20"/>
          <w:szCs w:val="20"/>
        </w:rPr>
        <w:br/>
      </w:r>
      <w:r w:rsidRPr="008719F7">
        <w:rPr>
          <w:rFonts w:ascii="Arial" w:eastAsia="Times New Roman" w:hAnsi="Arial" w:cs="Arial"/>
          <w:color w:val="000000"/>
          <w:sz w:val="20"/>
          <w:szCs w:val="20"/>
        </w:rPr>
        <w:t>o</w:t>
      </w:r>
      <w:r w:rsidR="006F37E4"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ESF;</w:t>
      </w:r>
      <w:r w:rsidR="006F37E4"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a</w:t>
      </w:r>
    </w:p>
    <w:p w14:paraId="4A687202" w14:textId="77777777" w:rsidR="00FD3788" w:rsidRPr="008719F7" w:rsidRDefault="00FD3788" w:rsidP="00995E23">
      <w:pPr>
        <w:numPr>
          <w:ilvl w:val="2"/>
          <w:numId w:val="8"/>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článku 9 odst. 2 písm. g) Obecného nařízení o ochraně osobních údajů, kdy významný veřejný zájem na základě práva Unie pro zpracování zvláštních kategorií osobních údajů vyplývá z Nařízení o ESF.</w:t>
      </w:r>
    </w:p>
    <w:p w14:paraId="76A7F424" w14:textId="3D6196AB" w:rsidR="00FD3788" w:rsidRPr="008719F7" w:rsidRDefault="00FD3788" w:rsidP="00BF5EE7">
      <w:pPr>
        <w:numPr>
          <w:ilvl w:val="1"/>
          <w:numId w:val="19"/>
        </w:numPr>
        <w:pBdr>
          <w:top w:val="nil"/>
          <w:left w:val="nil"/>
          <w:bottom w:val="nil"/>
          <w:right w:val="nil"/>
          <w:between w:val="nil"/>
        </w:pBdr>
        <w:spacing w:after="120" w:line="276" w:lineRule="auto"/>
        <w:ind w:left="720" w:hanging="720"/>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Ustanovením článku </w:t>
      </w:r>
      <w:r w:rsidR="00F31D8F" w:rsidRPr="008719F7">
        <w:rPr>
          <w:rFonts w:ascii="Arial" w:eastAsia="Times New Roman" w:hAnsi="Arial" w:cs="Arial"/>
          <w:color w:val="000000"/>
          <w:sz w:val="20"/>
          <w:szCs w:val="20"/>
        </w:rPr>
        <w:fldChar w:fldCharType="begin"/>
      </w:r>
      <w:r w:rsidR="00F31D8F" w:rsidRPr="008719F7">
        <w:rPr>
          <w:rFonts w:ascii="Arial" w:eastAsia="Times New Roman" w:hAnsi="Arial" w:cs="Arial"/>
          <w:color w:val="000000"/>
          <w:sz w:val="20"/>
          <w:szCs w:val="20"/>
        </w:rPr>
        <w:instrText xml:space="preserve"> REF _Ref29805511 \r \h </w:instrText>
      </w:r>
      <w:r w:rsidR="009533BC" w:rsidRPr="008719F7">
        <w:rPr>
          <w:rFonts w:ascii="Arial" w:eastAsia="Times New Roman" w:hAnsi="Arial" w:cs="Arial"/>
          <w:color w:val="000000"/>
          <w:sz w:val="20"/>
          <w:szCs w:val="20"/>
        </w:rPr>
        <w:instrText xml:space="preserve"> \* MERGEFORMAT </w:instrText>
      </w:r>
      <w:r w:rsidR="00F31D8F" w:rsidRPr="008719F7">
        <w:rPr>
          <w:rFonts w:ascii="Arial" w:eastAsia="Times New Roman" w:hAnsi="Arial" w:cs="Arial"/>
          <w:color w:val="000000"/>
          <w:sz w:val="20"/>
          <w:szCs w:val="20"/>
        </w:rPr>
      </w:r>
      <w:r w:rsidR="00F31D8F" w:rsidRPr="008719F7">
        <w:rPr>
          <w:rFonts w:ascii="Arial" w:eastAsia="Times New Roman" w:hAnsi="Arial" w:cs="Arial"/>
          <w:color w:val="000000"/>
          <w:sz w:val="20"/>
          <w:szCs w:val="20"/>
        </w:rPr>
        <w:fldChar w:fldCharType="separate"/>
      </w:r>
      <w:r w:rsidR="00F31D8F" w:rsidRPr="008719F7">
        <w:rPr>
          <w:rFonts w:ascii="Arial" w:eastAsia="Times New Roman" w:hAnsi="Arial" w:cs="Arial"/>
          <w:color w:val="000000"/>
          <w:sz w:val="20"/>
          <w:szCs w:val="20"/>
        </w:rPr>
        <w:t>12.4</w:t>
      </w:r>
      <w:r w:rsidR="00F31D8F" w:rsidRPr="008719F7">
        <w:rPr>
          <w:rFonts w:ascii="Arial" w:eastAsia="Times New Roman" w:hAnsi="Arial" w:cs="Arial"/>
          <w:color w:val="000000"/>
          <w:sz w:val="20"/>
          <w:szCs w:val="20"/>
        </w:rPr>
        <w:fldChar w:fldCharType="end"/>
      </w:r>
      <w:r w:rsidR="00F31D8F" w:rsidRPr="008719F7">
        <w:rPr>
          <w:rFonts w:ascii="Arial" w:eastAsia="Times New Roman" w:hAnsi="Arial" w:cs="Arial"/>
          <w:color w:val="000000"/>
          <w:sz w:val="20"/>
          <w:szCs w:val="20"/>
        </w:rPr>
        <w:t xml:space="preserve"> </w:t>
      </w:r>
      <w:r w:rsidRPr="008719F7">
        <w:rPr>
          <w:rFonts w:ascii="Arial" w:eastAsia="Times New Roman" w:hAnsi="Arial" w:cs="Arial"/>
          <w:color w:val="000000"/>
          <w:sz w:val="20"/>
          <w:szCs w:val="20"/>
        </w:rPr>
        <w:t>nejsou dotčeny povinnosti Příjemce stanovené zvláštními právními předpisy.</w:t>
      </w:r>
      <w:r w:rsidR="005F00EB" w:rsidRPr="008719F7">
        <w:rPr>
          <w:rFonts w:ascii="Arial" w:eastAsia="Times New Roman" w:hAnsi="Arial" w:cs="Arial"/>
          <w:color w:val="000000"/>
          <w:sz w:val="20"/>
          <w:szCs w:val="20"/>
        </w:rPr>
        <w:t xml:space="preserve"> </w:t>
      </w:r>
    </w:p>
    <w:p w14:paraId="5F5CB132" w14:textId="77777777" w:rsidR="00FD3788" w:rsidRPr="008719F7" w:rsidRDefault="00FD3788" w:rsidP="00BF5EE7">
      <w:pPr>
        <w:numPr>
          <w:ilvl w:val="1"/>
          <w:numId w:val="19"/>
        </w:numPr>
        <w:pBdr>
          <w:top w:val="nil"/>
          <w:left w:val="nil"/>
          <w:bottom w:val="nil"/>
          <w:right w:val="nil"/>
          <w:between w:val="nil"/>
        </w:pBdr>
        <w:spacing w:after="120" w:line="276" w:lineRule="auto"/>
        <w:ind w:left="720" w:hanging="720"/>
        <w:rPr>
          <w:rFonts w:ascii="Arial" w:eastAsia="Times New Roman" w:hAnsi="Arial" w:cs="Arial"/>
          <w:color w:val="000000"/>
          <w:sz w:val="20"/>
          <w:szCs w:val="20"/>
        </w:rPr>
      </w:pPr>
      <w:r w:rsidRPr="008719F7">
        <w:rPr>
          <w:rFonts w:ascii="Arial" w:eastAsia="Times New Roman" w:hAnsi="Arial" w:cs="Arial"/>
          <w:color w:val="000000"/>
          <w:sz w:val="20"/>
          <w:szCs w:val="20"/>
        </w:rPr>
        <w:t>Příjemce je povinen při zpracování osobních údajů zajistit dodržení zejména následujících povinností stanovených tímto Rozhodnutím a Obecným nařízením o ochraně osobních údajů:</w:t>
      </w:r>
    </w:p>
    <w:p w14:paraId="58029A59" w14:textId="77777777" w:rsidR="00FD3788" w:rsidRPr="008719F7" w:rsidRDefault="00FD3788" w:rsidP="00BF5EE7">
      <w:pPr>
        <w:numPr>
          <w:ilvl w:val="2"/>
          <w:numId w:val="19"/>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Rozsah zpracování osobních údajů na základě pověření a jejich ochrana</w:t>
      </w:r>
    </w:p>
    <w:p w14:paraId="76E82A30" w14:textId="453402EC" w:rsidR="00FD3788" w:rsidRPr="008719F7" w:rsidRDefault="00FD3788" w:rsidP="00995E23">
      <w:pPr>
        <w:numPr>
          <w:ilvl w:val="2"/>
          <w:numId w:val="9"/>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lastRenderedPageBreak/>
        <w:t>Příjemce je oprávněn zpracovávat osobní údaje podpořených osob v rozsahu vymezeném v Obecné části pravidel pro žadatele a příjemce v rámci OPZ</w:t>
      </w:r>
      <w:r w:rsidR="0070154B" w:rsidRPr="008719F7">
        <w:rPr>
          <w:rFonts w:ascii="Arial" w:eastAsia="Times New Roman" w:hAnsi="Arial" w:cs="Arial"/>
          <w:color w:val="000000"/>
          <w:sz w:val="20"/>
          <w:szCs w:val="20"/>
        </w:rPr>
        <w:t>.</w:t>
      </w:r>
    </w:p>
    <w:p w14:paraId="09069806" w14:textId="3CDB4E2C" w:rsidR="00FD3788" w:rsidRPr="008719F7" w:rsidRDefault="0070154B" w:rsidP="00995E23">
      <w:pPr>
        <w:numPr>
          <w:ilvl w:val="2"/>
          <w:numId w:val="9"/>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O</w:t>
      </w:r>
      <w:r w:rsidR="00FD3788" w:rsidRPr="008719F7">
        <w:rPr>
          <w:rFonts w:ascii="Arial" w:eastAsia="Times New Roman" w:hAnsi="Arial" w:cs="Arial"/>
          <w:color w:val="000000"/>
          <w:sz w:val="20"/>
          <w:szCs w:val="20"/>
        </w:rPr>
        <w:t>sobní údaje je Příjemce oprávněn zpracovávat výhradně v souvislosti s</w:t>
      </w:r>
      <w:r w:rsidR="00902E39" w:rsidRPr="008719F7">
        <w:rPr>
          <w:rFonts w:ascii="Arial" w:eastAsia="Times New Roman" w:hAnsi="Arial" w:cs="Arial"/>
          <w:color w:val="000000"/>
          <w:sz w:val="20"/>
          <w:szCs w:val="20"/>
        </w:rPr>
        <w:t> plněním účelu dotace</w:t>
      </w:r>
      <w:r w:rsidR="00FD3788" w:rsidRPr="008719F7">
        <w:rPr>
          <w:rFonts w:ascii="Arial" w:eastAsia="Times New Roman" w:hAnsi="Arial" w:cs="Arial"/>
          <w:color w:val="000000"/>
          <w:sz w:val="20"/>
          <w:szCs w:val="20"/>
        </w:rPr>
        <w:t xml:space="preserve">, zejména pak při přípravě </w:t>
      </w:r>
      <w:r w:rsidR="00902E39" w:rsidRPr="008719F7">
        <w:rPr>
          <w:rFonts w:ascii="Arial" w:eastAsia="Times New Roman" w:hAnsi="Arial" w:cs="Arial"/>
          <w:color w:val="000000"/>
          <w:sz w:val="20"/>
          <w:szCs w:val="20"/>
        </w:rPr>
        <w:t>dokumentace k průběžnému monitorování a vyúčtování dotace</w:t>
      </w:r>
      <w:r w:rsidR="00FD3788" w:rsidRPr="008719F7">
        <w:rPr>
          <w:rFonts w:ascii="Arial" w:eastAsia="Times New Roman" w:hAnsi="Arial" w:cs="Arial"/>
          <w:color w:val="000000"/>
          <w:sz w:val="20"/>
          <w:szCs w:val="20"/>
        </w:rPr>
        <w:t>.</w:t>
      </w:r>
    </w:p>
    <w:p w14:paraId="5D02C896" w14:textId="77777777" w:rsidR="00FD3788" w:rsidRPr="008719F7" w:rsidRDefault="00FD3788" w:rsidP="00BF5EE7">
      <w:pPr>
        <w:numPr>
          <w:ilvl w:val="2"/>
          <w:numId w:val="19"/>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Technické a organizační zabezpečení ochrany osobních údajů</w:t>
      </w:r>
    </w:p>
    <w:p w14:paraId="4ED61B5A" w14:textId="6E48BF49" w:rsidR="00FD3788" w:rsidRPr="008719F7" w:rsidRDefault="00FD3788" w:rsidP="0037538B">
      <w:pPr>
        <w:pBdr>
          <w:top w:val="nil"/>
          <w:left w:val="nil"/>
          <w:bottom w:val="nil"/>
          <w:right w:val="nil"/>
          <w:between w:val="nil"/>
        </w:pBdr>
        <w:spacing w:after="120" w:line="276" w:lineRule="auto"/>
        <w:ind w:hanging="11"/>
        <w:rPr>
          <w:rFonts w:ascii="Arial" w:eastAsia="Times New Roman" w:hAnsi="Arial" w:cs="Arial"/>
          <w:color w:val="000000"/>
          <w:sz w:val="20"/>
          <w:szCs w:val="20"/>
        </w:rPr>
      </w:pPr>
      <w:r w:rsidRPr="008719F7">
        <w:rPr>
          <w:rFonts w:ascii="Arial" w:eastAsia="Times New Roman" w:hAnsi="Arial" w:cs="Arial"/>
          <w:color w:val="000000"/>
          <w:sz w:val="20"/>
          <w:szCs w:val="20"/>
        </w:rPr>
        <w:t>Příjemce je povinen zpracovávat a chránit osobní údaje v souladu s Obecným nařízením o</w:t>
      </w:r>
      <w:r w:rsidR="00FC5AA8"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ochraně osobních údajů, a to zejména takto:</w:t>
      </w:r>
    </w:p>
    <w:p w14:paraId="06E42503" w14:textId="0F1801E6" w:rsidR="00FD3788" w:rsidRPr="008719F7" w:rsidRDefault="00FD3788" w:rsidP="00995E23">
      <w:pPr>
        <w:numPr>
          <w:ilvl w:val="2"/>
          <w:numId w:val="10"/>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osobní údaje ve fyzické podobě, tj. listinné údaje či na nosičích dat, budou uchovávány v</w:t>
      </w:r>
      <w:r w:rsidR="006F37E4"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 xml:space="preserve">uzamykatelných schránkách, a to po dobu uvedenou v bodu </w:t>
      </w:r>
      <w:r w:rsidR="00902E39" w:rsidRPr="008719F7">
        <w:rPr>
          <w:rFonts w:ascii="Arial" w:eastAsia="Times New Roman" w:hAnsi="Arial" w:cs="Arial"/>
          <w:color w:val="000000"/>
          <w:sz w:val="20"/>
          <w:szCs w:val="20"/>
        </w:rPr>
        <w:t>12</w:t>
      </w:r>
      <w:r w:rsidRPr="008719F7">
        <w:rPr>
          <w:rFonts w:ascii="Arial" w:eastAsia="Times New Roman" w:hAnsi="Arial" w:cs="Arial"/>
          <w:color w:val="000000"/>
          <w:sz w:val="20"/>
          <w:szCs w:val="20"/>
        </w:rPr>
        <w:t xml:space="preserve">.6.3 tohoto Rozhodnutí; </w:t>
      </w:r>
    </w:p>
    <w:p w14:paraId="796CAB58" w14:textId="62265BE4" w:rsidR="00FD3788" w:rsidRPr="008719F7" w:rsidRDefault="00FD3788" w:rsidP="00995E23">
      <w:pPr>
        <w:numPr>
          <w:ilvl w:val="2"/>
          <w:numId w:val="10"/>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přístup ke zpracovávaným osobním údajům umožní Příjemce pouze Poskytovateli dotace, svým zaměstnancům a orgánům oprávněným provádět kontrolu </w:t>
      </w:r>
      <w:r w:rsidR="009C112A" w:rsidRPr="008719F7">
        <w:rPr>
          <w:rFonts w:ascii="Arial" w:eastAsia="Times New Roman" w:hAnsi="Arial" w:cs="Arial"/>
          <w:color w:val="000000"/>
          <w:sz w:val="20"/>
          <w:szCs w:val="20"/>
        </w:rPr>
        <w:t>dotace</w:t>
      </w:r>
      <w:r w:rsidRPr="008719F7">
        <w:rPr>
          <w:rFonts w:ascii="Arial" w:eastAsia="Times New Roman" w:hAnsi="Arial" w:cs="Arial"/>
          <w:color w:val="000000"/>
          <w:sz w:val="20"/>
          <w:szCs w:val="20"/>
        </w:rPr>
        <w:t xml:space="preserve"> a</w:t>
      </w:r>
      <w:r w:rsidR="00FC5AA8"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 xml:space="preserve">dále osobám uvedeným v bodu </w:t>
      </w:r>
      <w:r w:rsidR="00F31D8F" w:rsidRPr="008719F7">
        <w:rPr>
          <w:rFonts w:ascii="Arial" w:eastAsia="Times New Roman" w:hAnsi="Arial" w:cs="Arial"/>
          <w:color w:val="000000"/>
          <w:sz w:val="20"/>
          <w:szCs w:val="20"/>
        </w:rPr>
        <w:fldChar w:fldCharType="begin"/>
      </w:r>
      <w:r w:rsidR="00F31D8F" w:rsidRPr="008719F7">
        <w:rPr>
          <w:rFonts w:ascii="Arial" w:eastAsia="Times New Roman" w:hAnsi="Arial" w:cs="Arial"/>
          <w:color w:val="000000"/>
          <w:sz w:val="20"/>
          <w:szCs w:val="20"/>
        </w:rPr>
        <w:instrText xml:space="preserve"> REF _Ref29805544 \r \h </w:instrText>
      </w:r>
      <w:r w:rsidR="009533BC" w:rsidRPr="008719F7">
        <w:rPr>
          <w:rFonts w:ascii="Arial" w:eastAsia="Times New Roman" w:hAnsi="Arial" w:cs="Arial"/>
          <w:color w:val="000000"/>
          <w:sz w:val="20"/>
          <w:szCs w:val="20"/>
        </w:rPr>
        <w:instrText xml:space="preserve"> \* MERGEFORMAT </w:instrText>
      </w:r>
      <w:r w:rsidR="00F31D8F" w:rsidRPr="008719F7">
        <w:rPr>
          <w:rFonts w:ascii="Arial" w:eastAsia="Times New Roman" w:hAnsi="Arial" w:cs="Arial"/>
          <w:color w:val="000000"/>
          <w:sz w:val="20"/>
          <w:szCs w:val="20"/>
        </w:rPr>
      </w:r>
      <w:r w:rsidR="00F31D8F" w:rsidRPr="008719F7">
        <w:rPr>
          <w:rFonts w:ascii="Arial" w:eastAsia="Times New Roman" w:hAnsi="Arial" w:cs="Arial"/>
          <w:color w:val="000000"/>
          <w:sz w:val="20"/>
          <w:szCs w:val="20"/>
        </w:rPr>
        <w:fldChar w:fldCharType="separate"/>
      </w:r>
      <w:r w:rsidR="00F31D8F" w:rsidRPr="008719F7">
        <w:rPr>
          <w:rFonts w:ascii="Arial" w:eastAsia="Times New Roman" w:hAnsi="Arial" w:cs="Arial"/>
          <w:color w:val="000000"/>
          <w:sz w:val="20"/>
          <w:szCs w:val="20"/>
        </w:rPr>
        <w:t>12.6.4</w:t>
      </w:r>
      <w:r w:rsidR="00F31D8F" w:rsidRPr="008719F7">
        <w:rPr>
          <w:rFonts w:ascii="Arial" w:eastAsia="Times New Roman" w:hAnsi="Arial" w:cs="Arial"/>
          <w:color w:val="000000"/>
          <w:sz w:val="20"/>
          <w:szCs w:val="20"/>
        </w:rPr>
        <w:fldChar w:fldCharType="end"/>
      </w:r>
      <w:r w:rsidR="00F31D8F" w:rsidRPr="008719F7">
        <w:rPr>
          <w:rFonts w:ascii="Arial" w:eastAsia="Times New Roman" w:hAnsi="Arial" w:cs="Arial"/>
          <w:color w:val="000000"/>
          <w:sz w:val="20"/>
          <w:szCs w:val="20"/>
        </w:rPr>
        <w:t xml:space="preserve"> </w:t>
      </w:r>
      <w:r w:rsidRPr="008719F7">
        <w:rPr>
          <w:rFonts w:ascii="Arial" w:eastAsia="Times New Roman" w:hAnsi="Arial" w:cs="Arial"/>
          <w:color w:val="000000"/>
          <w:sz w:val="20"/>
          <w:szCs w:val="20"/>
        </w:rPr>
        <w:t>tohoto Rozhodnutí při splnění všech stanovených podmínek;</w:t>
      </w:r>
    </w:p>
    <w:p w14:paraId="58F64534" w14:textId="77777777" w:rsidR="00FD3788" w:rsidRPr="008719F7" w:rsidRDefault="00FD3788" w:rsidP="00995E23">
      <w:pPr>
        <w:numPr>
          <w:ilvl w:val="2"/>
          <w:numId w:val="10"/>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zaměstnanci Příjemce, kterým bude umožněn přístup ke zpracovávaným osobním údajům, budou Příjemcem doložitelně poučeni o povinnosti zachovávat mlčenlivost podle čl. 28 odst. 3 písm. b) Obecného nařízení o ochraně osobních údajů.</w:t>
      </w:r>
    </w:p>
    <w:p w14:paraId="2AF0EEB5" w14:textId="77777777" w:rsidR="00FD3788" w:rsidRPr="008719F7" w:rsidRDefault="00FD3788" w:rsidP="00BF5EE7">
      <w:pPr>
        <w:numPr>
          <w:ilvl w:val="2"/>
          <w:numId w:val="19"/>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Doba zpracování</w:t>
      </w:r>
    </w:p>
    <w:p w14:paraId="7802506B" w14:textId="41799B9A" w:rsidR="00FD3788" w:rsidRPr="008719F7" w:rsidRDefault="00FD3788" w:rsidP="0037538B">
      <w:pPr>
        <w:pBdr>
          <w:top w:val="nil"/>
          <w:left w:val="nil"/>
          <w:bottom w:val="nil"/>
          <w:right w:val="nil"/>
          <w:between w:val="nil"/>
        </w:pBdr>
        <w:spacing w:after="120" w:line="276" w:lineRule="auto"/>
        <w:ind w:hanging="11"/>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Příjemce je oprávněn zpracovávat osobní údaje během realizace </w:t>
      </w:r>
      <w:r w:rsidRPr="008719F7">
        <w:rPr>
          <w:rFonts w:ascii="Arial" w:eastAsia="Times New Roman" w:hAnsi="Arial" w:cs="Arial"/>
          <w:sz w:val="20"/>
          <w:szCs w:val="20"/>
        </w:rPr>
        <w:t>P</w:t>
      </w:r>
      <w:r w:rsidRPr="008719F7">
        <w:rPr>
          <w:rFonts w:ascii="Arial" w:eastAsia="Times New Roman" w:hAnsi="Arial" w:cs="Arial"/>
          <w:color w:val="000000"/>
          <w:sz w:val="20"/>
          <w:szCs w:val="20"/>
        </w:rPr>
        <w:t>rojektu po dobu deseti let</w:t>
      </w:r>
      <w:r w:rsidR="0074244A" w:rsidRPr="008719F7">
        <w:rPr>
          <w:rFonts w:ascii="Arial" w:eastAsia="Times New Roman" w:hAnsi="Arial" w:cs="Arial"/>
          <w:color w:val="000000"/>
          <w:sz w:val="20"/>
          <w:szCs w:val="20"/>
        </w:rPr>
        <w:t xml:space="preserve"> </w:t>
      </w:r>
      <w:r w:rsidRPr="008719F7">
        <w:rPr>
          <w:rFonts w:ascii="Arial" w:eastAsia="Times New Roman" w:hAnsi="Arial" w:cs="Arial"/>
          <w:color w:val="000000"/>
          <w:sz w:val="20"/>
          <w:szCs w:val="20"/>
        </w:rPr>
        <w:t xml:space="preserve">od ukončení realizace </w:t>
      </w:r>
      <w:r w:rsidRPr="008719F7">
        <w:rPr>
          <w:rFonts w:ascii="Arial" w:eastAsia="Times New Roman" w:hAnsi="Arial" w:cs="Arial"/>
          <w:sz w:val="20"/>
          <w:szCs w:val="20"/>
        </w:rPr>
        <w:t xml:space="preserve">Projektu, přičemž tato lhůta začíná běžet 1. ledna následujícího kalendářního roku po ukončení </w:t>
      </w:r>
      <w:r w:rsidR="00191BE2" w:rsidRPr="008719F7">
        <w:rPr>
          <w:rFonts w:ascii="Arial" w:eastAsia="Times New Roman" w:hAnsi="Arial" w:cs="Arial"/>
          <w:sz w:val="20"/>
          <w:szCs w:val="20"/>
        </w:rPr>
        <w:t xml:space="preserve">realizace </w:t>
      </w:r>
      <w:r w:rsidRPr="008719F7">
        <w:rPr>
          <w:rFonts w:ascii="Arial" w:eastAsia="Times New Roman" w:hAnsi="Arial" w:cs="Arial"/>
          <w:sz w:val="20"/>
          <w:szCs w:val="20"/>
        </w:rPr>
        <w:t>Projektu.</w:t>
      </w:r>
      <w:r w:rsidR="00BF5EE7" w:rsidRPr="008719F7">
        <w:rPr>
          <w:rStyle w:val="Znakapoznpodarou"/>
          <w:rFonts w:ascii="Arial" w:eastAsia="Times New Roman" w:hAnsi="Arial" w:cs="Arial"/>
          <w:sz w:val="20"/>
          <w:szCs w:val="20"/>
        </w:rPr>
        <w:footnoteReference w:id="5"/>
      </w:r>
      <w:r w:rsidRPr="008719F7">
        <w:rPr>
          <w:rFonts w:ascii="Arial" w:eastAsia="Times New Roman" w:hAnsi="Arial" w:cs="Arial"/>
          <w:sz w:val="20"/>
          <w:szCs w:val="20"/>
        </w:rPr>
        <w:t xml:space="preserve"> </w:t>
      </w:r>
      <w:r w:rsidRPr="008719F7">
        <w:rPr>
          <w:rFonts w:ascii="Arial" w:eastAsia="Times New Roman" w:hAnsi="Arial" w:cs="Arial"/>
          <w:color w:val="000000"/>
          <w:sz w:val="20"/>
          <w:szCs w:val="20"/>
        </w:rPr>
        <w:t>Bez zbytečného odkladu po uplynutí této doby je Příjemce povinen provést likvidaci těchto osobních údajů.</w:t>
      </w:r>
    </w:p>
    <w:p w14:paraId="0BD421B2" w14:textId="77777777" w:rsidR="00FD3788" w:rsidRPr="008719F7" w:rsidRDefault="00FD3788" w:rsidP="00BF5EE7">
      <w:pPr>
        <w:numPr>
          <w:ilvl w:val="2"/>
          <w:numId w:val="19"/>
        </w:numPr>
        <w:pBdr>
          <w:top w:val="nil"/>
          <w:left w:val="nil"/>
          <w:bottom w:val="nil"/>
          <w:right w:val="nil"/>
          <w:between w:val="nil"/>
        </w:pBdr>
        <w:spacing w:after="120" w:line="276" w:lineRule="auto"/>
        <w:rPr>
          <w:rFonts w:ascii="Arial" w:eastAsia="Times New Roman" w:hAnsi="Arial" w:cs="Arial"/>
          <w:color w:val="000000"/>
          <w:sz w:val="20"/>
          <w:szCs w:val="20"/>
        </w:rPr>
      </w:pPr>
      <w:bookmarkStart w:id="8" w:name="_Ref29805544"/>
      <w:r w:rsidRPr="008719F7">
        <w:rPr>
          <w:rFonts w:ascii="Arial" w:eastAsia="Times New Roman" w:hAnsi="Arial" w:cs="Arial"/>
          <w:color w:val="000000"/>
          <w:sz w:val="20"/>
          <w:szCs w:val="20"/>
        </w:rPr>
        <w:t>Zpracování ostatními osobami</w:t>
      </w:r>
      <w:bookmarkEnd w:id="8"/>
    </w:p>
    <w:p w14:paraId="641D50DA" w14:textId="2D821BE6" w:rsidR="00FD3788" w:rsidRPr="008719F7" w:rsidRDefault="00FD3788" w:rsidP="00995E23">
      <w:pPr>
        <w:numPr>
          <w:ilvl w:val="2"/>
          <w:numId w:val="12"/>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Příjemce je povinen uzavřít smlouvu podle čl. 28 odst. 4 Obecného nařízení o ochraně osobních údajů s dodavatelem, který má v souvislosti s</w:t>
      </w:r>
      <w:r w:rsidR="00C62720" w:rsidRPr="008719F7">
        <w:rPr>
          <w:rFonts w:ascii="Arial" w:eastAsia="Times New Roman" w:hAnsi="Arial" w:cs="Arial"/>
          <w:color w:val="000000"/>
          <w:sz w:val="20"/>
          <w:szCs w:val="20"/>
        </w:rPr>
        <w:t> plněním účelu dotace</w:t>
      </w:r>
      <w:r w:rsidRPr="008719F7">
        <w:rPr>
          <w:rFonts w:ascii="Arial" w:eastAsia="Times New Roman" w:hAnsi="Arial" w:cs="Arial"/>
          <w:color w:val="000000"/>
          <w:sz w:val="20"/>
          <w:szCs w:val="20"/>
        </w:rPr>
        <w:t xml:space="preserve"> zpracovávat osobní údaje podpořených osob. Příjemce je povinen předem Poskytovatele dotace informovat o veškerých subjektech, které mají </w:t>
      </w:r>
      <w:r w:rsidR="00C62720" w:rsidRPr="008719F7">
        <w:rPr>
          <w:rFonts w:ascii="Arial" w:eastAsia="Times New Roman" w:hAnsi="Arial" w:cs="Arial"/>
          <w:color w:val="000000"/>
          <w:sz w:val="20"/>
          <w:szCs w:val="20"/>
        </w:rPr>
        <w:t>při plnění účelu dotace</w:t>
      </w:r>
      <w:r w:rsidRPr="008719F7">
        <w:rPr>
          <w:rFonts w:ascii="Arial" w:eastAsia="Times New Roman" w:hAnsi="Arial" w:cs="Arial"/>
          <w:color w:val="000000"/>
          <w:sz w:val="20"/>
          <w:szCs w:val="20"/>
        </w:rPr>
        <w:t xml:space="preserve"> působit jako další zpracovatelé osobních údajů. Poskytovatel dotace je oprávněn vyslovit vůči zapojení těchto subjektů jakožto zpracovatelů osobních údajů námitky, a</w:t>
      </w:r>
      <w:r w:rsidR="00C62720" w:rsidRPr="008719F7">
        <w:rPr>
          <w:rFonts w:ascii="Arial" w:eastAsia="Times New Roman" w:hAnsi="Arial" w:cs="Arial"/>
          <w:color w:val="000000"/>
          <w:sz w:val="20"/>
          <w:szCs w:val="20"/>
        </w:rPr>
        <w:t> </w:t>
      </w:r>
      <w:r w:rsidRPr="008719F7">
        <w:rPr>
          <w:rFonts w:ascii="Arial" w:eastAsia="Times New Roman" w:hAnsi="Arial" w:cs="Arial"/>
          <w:color w:val="000000"/>
          <w:sz w:val="20"/>
          <w:szCs w:val="20"/>
        </w:rPr>
        <w:t xml:space="preserve">to z vlastního podnětu či z podnětu správce. </w:t>
      </w:r>
    </w:p>
    <w:p w14:paraId="53B394F5" w14:textId="270D86D5" w:rsidR="00FD3788" w:rsidRPr="008719F7" w:rsidRDefault="00FD3788" w:rsidP="00995E23">
      <w:pPr>
        <w:numPr>
          <w:ilvl w:val="2"/>
          <w:numId w:val="12"/>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Smlouvy uzavírané podle čl. 28 odst. 4 Obecného nařízení o ochraně osobních údajů s dodavatelem musí upravovat podmínky zpracování osobních údajů stejně jako podmínky stanovené v tomto Rozhodnutí. </w:t>
      </w:r>
    </w:p>
    <w:p w14:paraId="2B666C13" w14:textId="7AFA5873" w:rsidR="00FD3788" w:rsidRPr="008719F7" w:rsidRDefault="00FD3788" w:rsidP="00995E23">
      <w:pPr>
        <w:numPr>
          <w:ilvl w:val="2"/>
          <w:numId w:val="12"/>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Příjemce odpovídá Poskytovateli dotace za splnění povinností v oblasti ochrany osobních údajů podpořených osob i v případě, neplní-li tyto povinnosti dodavatel.</w:t>
      </w:r>
      <w:r w:rsidR="005F00EB" w:rsidRPr="008719F7">
        <w:rPr>
          <w:rFonts w:ascii="Arial" w:eastAsia="Times New Roman" w:hAnsi="Arial" w:cs="Arial"/>
          <w:color w:val="000000"/>
          <w:sz w:val="20"/>
          <w:szCs w:val="20"/>
        </w:rPr>
        <w:t xml:space="preserve"> </w:t>
      </w:r>
    </w:p>
    <w:p w14:paraId="043CDC94" w14:textId="77777777" w:rsidR="00FD3788" w:rsidRPr="008719F7" w:rsidRDefault="00FD3788" w:rsidP="00BF5EE7">
      <w:pPr>
        <w:numPr>
          <w:ilvl w:val="2"/>
          <w:numId w:val="19"/>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Další povinnosti Příjemce v souvislosti se zpracováním osobních údajů</w:t>
      </w:r>
    </w:p>
    <w:p w14:paraId="2DE6C2AE" w14:textId="77777777" w:rsidR="00FD3788" w:rsidRPr="008719F7" w:rsidRDefault="00FD3788" w:rsidP="00995E23">
      <w:pPr>
        <w:numPr>
          <w:ilvl w:val="2"/>
          <w:numId w:val="11"/>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Příjemce je povinen Poskytovatele dotace v souladu s čl. 33 odst. 2 Obecného nařízení o ochraně osobních údajů informovat o jakémkoli porušení zabezpečení osobních údajů, a to do 24 hodin od okamžiku, kdy se o něm dozvěděl. </w:t>
      </w:r>
    </w:p>
    <w:p w14:paraId="08C7476F" w14:textId="77777777" w:rsidR="00FD3788" w:rsidRPr="008719F7" w:rsidRDefault="00FD3788" w:rsidP="00995E23">
      <w:pPr>
        <w:numPr>
          <w:ilvl w:val="2"/>
          <w:numId w:val="11"/>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lastRenderedPageBreak/>
        <w:t>Příjemce je povinen na základě vyžádání předat Poskytovateli dotace veškeré informace potřebné k doložení splnění povinností stanovených v tomto Rozhodnutí ohledně ochrany osobních údajů podpořených osob.</w:t>
      </w:r>
    </w:p>
    <w:p w14:paraId="600C25F8" w14:textId="6CD93108" w:rsidR="00FD3788" w:rsidRPr="008719F7" w:rsidRDefault="00FD3788" w:rsidP="00995E23">
      <w:pPr>
        <w:numPr>
          <w:ilvl w:val="2"/>
          <w:numId w:val="11"/>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Příjemce je povinen spolupracovat s Poskytovatelem dotace, a dále s </w:t>
      </w:r>
      <w:r w:rsidR="004D12F0" w:rsidRPr="008719F7">
        <w:rPr>
          <w:rFonts w:ascii="Arial" w:eastAsia="Times New Roman" w:hAnsi="Arial" w:cs="Arial"/>
          <w:color w:val="000000"/>
          <w:sz w:val="20"/>
          <w:szCs w:val="20"/>
        </w:rPr>
        <w:t>MPSV</w:t>
      </w:r>
      <w:r w:rsidRPr="008719F7">
        <w:rPr>
          <w:rFonts w:ascii="Arial" w:eastAsia="Times New Roman" w:hAnsi="Arial" w:cs="Arial"/>
          <w:color w:val="000000"/>
          <w:sz w:val="20"/>
          <w:szCs w:val="20"/>
        </w:rPr>
        <w:t xml:space="preserve"> jako správcem při plnění povinností reagovat na žádosti podpořených osob týkající se jejich osobních údajů.</w:t>
      </w:r>
    </w:p>
    <w:p w14:paraId="4D198138" w14:textId="77777777" w:rsidR="00FD3788" w:rsidRPr="008719F7" w:rsidRDefault="00FD3788" w:rsidP="00995E23">
      <w:pPr>
        <w:numPr>
          <w:ilvl w:val="2"/>
          <w:numId w:val="11"/>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Příjemce je povinen splnit povinnosti a dodržet další podmínky, stanovené Obecným nařízením o ochraně osobních údajů; upozornění na vybraná ustanovení Obecného nařízení o ochraně osobních údajů je obsaženo v článku 18.1.3.3. Obecné části pravidel pro žadatele a příjemce v rámci OPZ.</w:t>
      </w:r>
    </w:p>
    <w:p w14:paraId="667F3149" w14:textId="681CF8E8" w:rsidR="00FD3788" w:rsidRPr="008719F7" w:rsidRDefault="00FD3788" w:rsidP="00995E23">
      <w:pPr>
        <w:numPr>
          <w:ilvl w:val="2"/>
          <w:numId w:val="11"/>
        </w:numPr>
        <w:pBdr>
          <w:top w:val="nil"/>
          <w:left w:val="nil"/>
          <w:bottom w:val="nil"/>
          <w:right w:val="nil"/>
          <w:between w:val="nil"/>
        </w:pBdr>
        <w:spacing w:after="120" w:line="276" w:lineRule="auto"/>
        <w:rPr>
          <w:rFonts w:ascii="Arial" w:eastAsia="Times New Roman" w:hAnsi="Arial" w:cs="Arial"/>
          <w:color w:val="000000"/>
          <w:sz w:val="20"/>
          <w:szCs w:val="20"/>
        </w:rPr>
      </w:pPr>
      <w:r w:rsidRPr="008719F7">
        <w:rPr>
          <w:rFonts w:ascii="Arial" w:eastAsia="Times New Roman" w:hAnsi="Arial" w:cs="Arial"/>
          <w:color w:val="000000"/>
          <w:sz w:val="20"/>
          <w:szCs w:val="20"/>
        </w:rPr>
        <w:t>Tímto Rozhodnutím nejsou dotčena práva a povinností Příjemce ve vztahu k osobním údajům, které zpracovává jako správce z titulu oprávněného poskytovatele příslušné služby.</w:t>
      </w:r>
      <w:r w:rsidR="005F00EB" w:rsidRPr="008719F7">
        <w:rPr>
          <w:rFonts w:ascii="Arial" w:eastAsia="Times New Roman" w:hAnsi="Arial" w:cs="Arial"/>
          <w:color w:val="000000"/>
          <w:sz w:val="20"/>
          <w:szCs w:val="20"/>
        </w:rPr>
        <w:t xml:space="preserve"> </w:t>
      </w:r>
    </w:p>
    <w:p w14:paraId="3A85D13F" w14:textId="3AB9261E" w:rsidR="00787450" w:rsidRPr="008719F7" w:rsidRDefault="00787450" w:rsidP="00787450">
      <w:pPr>
        <w:pBdr>
          <w:top w:val="nil"/>
          <w:left w:val="nil"/>
          <w:bottom w:val="nil"/>
          <w:right w:val="nil"/>
          <w:between w:val="nil"/>
        </w:pBdr>
        <w:spacing w:after="120" w:line="276" w:lineRule="auto"/>
        <w:ind w:left="720"/>
        <w:rPr>
          <w:rFonts w:ascii="Arial" w:eastAsia="Times New Roman" w:hAnsi="Arial" w:cs="Arial"/>
          <w:color w:val="000000"/>
          <w:sz w:val="20"/>
          <w:szCs w:val="20"/>
        </w:rPr>
      </w:pPr>
    </w:p>
    <w:p w14:paraId="2A886B9C" w14:textId="77777777" w:rsidR="00787450" w:rsidRPr="008719F7" w:rsidRDefault="00787450" w:rsidP="00BF5EE7">
      <w:pPr>
        <w:keepNext/>
        <w:numPr>
          <w:ilvl w:val="0"/>
          <w:numId w:val="19"/>
        </w:numPr>
        <w:pBdr>
          <w:top w:val="nil"/>
          <w:left w:val="nil"/>
          <w:bottom w:val="nil"/>
          <w:right w:val="nil"/>
          <w:between w:val="nil"/>
        </w:pBdr>
        <w:spacing w:after="120" w:line="276" w:lineRule="auto"/>
        <w:ind w:left="720" w:hanging="720"/>
        <w:rPr>
          <w:rFonts w:ascii="Arial" w:eastAsia="Calibri" w:hAnsi="Arial" w:cs="Arial"/>
          <w:b/>
          <w:color w:val="000000"/>
          <w:sz w:val="20"/>
          <w:szCs w:val="20"/>
        </w:rPr>
      </w:pPr>
      <w:r w:rsidRPr="008719F7">
        <w:rPr>
          <w:rFonts w:ascii="Arial" w:eastAsia="Calibri" w:hAnsi="Arial" w:cs="Arial"/>
          <w:b/>
          <w:color w:val="000000"/>
          <w:sz w:val="20"/>
          <w:szCs w:val="20"/>
        </w:rPr>
        <w:t>Veřejná podpora a podpora de minimis</w:t>
      </w:r>
    </w:p>
    <w:p w14:paraId="4E9502BB" w14:textId="77777777" w:rsidR="00787450" w:rsidRPr="008719F7" w:rsidRDefault="00787450" w:rsidP="00787450">
      <w:pPr>
        <w:pBdr>
          <w:top w:val="nil"/>
          <w:left w:val="nil"/>
          <w:bottom w:val="nil"/>
          <w:right w:val="nil"/>
          <w:between w:val="nil"/>
        </w:pBdr>
        <w:spacing w:after="120" w:line="276" w:lineRule="auto"/>
        <w:rPr>
          <w:rFonts w:ascii="Arial" w:eastAsia="Calibri" w:hAnsi="Arial" w:cs="Arial"/>
          <w:sz w:val="20"/>
          <w:szCs w:val="20"/>
        </w:rPr>
      </w:pPr>
      <w:r w:rsidRPr="008719F7">
        <w:rPr>
          <w:rFonts w:ascii="Arial" w:eastAsia="Calibri" w:hAnsi="Arial" w:cs="Arial"/>
          <w:color w:val="000000"/>
          <w:sz w:val="20"/>
          <w:szCs w:val="20"/>
        </w:rPr>
        <w:t>Poskytovaná</w:t>
      </w:r>
      <w:r w:rsidRPr="008719F7">
        <w:rPr>
          <w:rFonts w:ascii="Arial" w:eastAsia="Calibri" w:hAnsi="Arial" w:cs="Arial"/>
          <w:sz w:val="20"/>
          <w:szCs w:val="20"/>
        </w:rPr>
        <w:t xml:space="preserve"> dotace nezakládá veřejnou podporu.</w:t>
      </w:r>
    </w:p>
    <w:p w14:paraId="34C795CF" w14:textId="77777777" w:rsidR="009974F4" w:rsidRPr="008719F7" w:rsidRDefault="009974F4" w:rsidP="000948B4">
      <w:pPr>
        <w:pBdr>
          <w:top w:val="nil"/>
          <w:left w:val="nil"/>
          <w:bottom w:val="nil"/>
          <w:right w:val="nil"/>
          <w:between w:val="nil"/>
        </w:pBdr>
        <w:spacing w:after="120" w:line="276" w:lineRule="auto"/>
        <w:contextualSpacing/>
        <w:rPr>
          <w:rFonts w:ascii="Arial" w:eastAsia="Calibri" w:hAnsi="Arial" w:cs="Arial"/>
          <w:sz w:val="20"/>
          <w:szCs w:val="20"/>
        </w:rPr>
      </w:pPr>
    </w:p>
    <w:p w14:paraId="282B926F" w14:textId="2A9D75D5" w:rsidR="004464B4" w:rsidRPr="008719F7" w:rsidRDefault="004464B4" w:rsidP="000948B4">
      <w:pPr>
        <w:spacing w:after="120" w:line="276" w:lineRule="auto"/>
        <w:rPr>
          <w:rFonts w:ascii="Arial" w:eastAsia="Calibri" w:hAnsi="Arial" w:cs="Arial"/>
          <w:sz w:val="20"/>
          <w:szCs w:val="20"/>
        </w:rPr>
      </w:pPr>
    </w:p>
    <w:p w14:paraId="396F1876" w14:textId="77777777" w:rsidR="00EA227F" w:rsidRPr="008719F7" w:rsidRDefault="00EA227F" w:rsidP="000948B4">
      <w:pPr>
        <w:spacing w:after="120" w:line="276" w:lineRule="auto"/>
        <w:jc w:val="center"/>
        <w:rPr>
          <w:rFonts w:ascii="Arial" w:eastAsia="Calibri" w:hAnsi="Arial" w:cs="Arial"/>
          <w:b/>
          <w:sz w:val="20"/>
          <w:szCs w:val="20"/>
        </w:rPr>
      </w:pPr>
    </w:p>
    <w:p w14:paraId="760A43B3" w14:textId="77777777"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ČÁST III.</w:t>
      </w:r>
    </w:p>
    <w:p w14:paraId="20B287C4" w14:textId="087D8502"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PLATEBNÍ PODMÍNKY</w:t>
      </w:r>
    </w:p>
    <w:p w14:paraId="18322BA3" w14:textId="045F5111" w:rsidR="009537E8" w:rsidRPr="008719F7" w:rsidRDefault="009974F4" w:rsidP="00995E23">
      <w:pPr>
        <w:numPr>
          <w:ilvl w:val="0"/>
          <w:numId w:val="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Poskytovatel dotace bude dotaci specifikovanou v části I., bod 2. tohoto Rozhodnutí Příjemci poskytovat bezhotovostním bankovním převodem na bankovní účet </w:t>
      </w:r>
      <w:r w:rsidRPr="008719F7">
        <w:rPr>
          <w:rFonts w:ascii="Arial" w:eastAsia="Calibri" w:hAnsi="Arial" w:cs="Arial"/>
          <w:color w:val="000000"/>
          <w:sz w:val="20"/>
          <w:szCs w:val="20"/>
          <w:highlight w:val="lightGray"/>
        </w:rPr>
        <w:t>Příjemce</w:t>
      </w:r>
      <w:r w:rsidR="00F31D8F" w:rsidRPr="008719F7">
        <w:rPr>
          <w:rFonts w:ascii="Arial" w:eastAsia="Calibri" w:hAnsi="Arial" w:cs="Arial"/>
          <w:color w:val="000000"/>
          <w:sz w:val="20"/>
          <w:szCs w:val="20"/>
          <w:highlight w:val="lightGray"/>
        </w:rPr>
        <w:t>/zřizovatele</w:t>
      </w:r>
      <w:r w:rsidRPr="008719F7">
        <w:rPr>
          <w:rFonts w:ascii="Arial" w:eastAsia="Calibri" w:hAnsi="Arial" w:cs="Arial"/>
          <w:color w:val="000000"/>
          <w:sz w:val="20"/>
          <w:szCs w:val="20"/>
        </w:rPr>
        <w:t xml:space="preserve"> uvedený</w:t>
      </w:r>
      <w:r w:rsidR="00C04DA4" w:rsidRPr="008719F7">
        <w:rPr>
          <w:rFonts w:ascii="Arial" w:eastAsia="Calibri" w:hAnsi="Arial" w:cs="Arial"/>
          <w:color w:val="000000"/>
          <w:sz w:val="20"/>
          <w:szCs w:val="20"/>
        </w:rPr>
        <w:t xml:space="preserve"> v</w:t>
      </w:r>
      <w:r w:rsidRPr="008719F7">
        <w:rPr>
          <w:rFonts w:ascii="Arial" w:eastAsia="Calibri" w:hAnsi="Arial" w:cs="Arial"/>
          <w:color w:val="000000"/>
          <w:sz w:val="20"/>
          <w:szCs w:val="20"/>
        </w:rPr>
        <w:t xml:space="preserve"> to</w:t>
      </w:r>
      <w:r w:rsidR="00C04DA4" w:rsidRPr="008719F7">
        <w:rPr>
          <w:rFonts w:ascii="Arial" w:eastAsia="Calibri" w:hAnsi="Arial" w:cs="Arial"/>
          <w:color w:val="000000"/>
          <w:sz w:val="20"/>
          <w:szCs w:val="20"/>
        </w:rPr>
        <w:t>mto</w:t>
      </w:r>
      <w:r w:rsidRPr="008719F7">
        <w:rPr>
          <w:rFonts w:ascii="Arial" w:eastAsia="Calibri" w:hAnsi="Arial" w:cs="Arial"/>
          <w:color w:val="000000"/>
          <w:sz w:val="20"/>
          <w:szCs w:val="20"/>
        </w:rPr>
        <w:t xml:space="preserve"> Rozhodnutí. Dnem poskytnutí se rozumí den odepsání částky z účtu Poskytovatele dotace</w:t>
      </w:r>
      <w:r w:rsidR="005F00EB" w:rsidRPr="008719F7">
        <w:rPr>
          <w:rFonts w:ascii="Arial" w:eastAsia="Calibri" w:hAnsi="Arial" w:cs="Arial"/>
          <w:color w:val="000000"/>
          <w:sz w:val="20"/>
          <w:szCs w:val="20"/>
        </w:rPr>
        <w:t>.</w:t>
      </w:r>
    </w:p>
    <w:p w14:paraId="7B0AC15C" w14:textId="01993C01" w:rsidR="009537E8" w:rsidRPr="008719F7" w:rsidRDefault="009537E8" w:rsidP="00995E23">
      <w:pPr>
        <w:numPr>
          <w:ilvl w:val="0"/>
          <w:numId w:val="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Celková částka dotace může být proplacena maximálně do výše uvedené v části I. bod </w:t>
      </w:r>
      <w:r w:rsidR="00C04DA4" w:rsidRPr="008719F7">
        <w:rPr>
          <w:rFonts w:ascii="Arial" w:eastAsia="Calibri" w:hAnsi="Arial" w:cs="Arial"/>
          <w:color w:val="000000"/>
          <w:sz w:val="20"/>
          <w:szCs w:val="20"/>
        </w:rPr>
        <w:t>2.</w:t>
      </w:r>
      <w:r w:rsidRPr="008719F7">
        <w:rPr>
          <w:rFonts w:ascii="Arial" w:eastAsia="Calibri" w:hAnsi="Arial" w:cs="Arial"/>
          <w:color w:val="000000"/>
          <w:sz w:val="20"/>
          <w:szCs w:val="20"/>
        </w:rPr>
        <w:t>1. tohoto Rozhodnutí.</w:t>
      </w:r>
    </w:p>
    <w:p w14:paraId="05B4D1B7" w14:textId="091EBB79" w:rsidR="009537E8" w:rsidRPr="008719F7" w:rsidRDefault="009537E8" w:rsidP="00995E23">
      <w:pPr>
        <w:numPr>
          <w:ilvl w:val="0"/>
          <w:numId w:val="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Poskytovatel dotace bude Příjemci poskytovat zálohy, a to maximálně do 80 % celkové částky dotace. Zálohy budou Příjemci proplaceny dle následujícího harmonogramu: </w:t>
      </w:r>
    </w:p>
    <w:tbl>
      <w:tblPr>
        <w:tblW w:w="8801" w:type="dxa"/>
        <w:tblInd w:w="4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842"/>
        <w:gridCol w:w="3402"/>
        <w:gridCol w:w="3557"/>
      </w:tblGrid>
      <w:tr w:rsidR="009537E8" w:rsidRPr="008719F7" w14:paraId="27D28A38" w14:textId="77777777" w:rsidTr="00FB5F96">
        <w:trPr>
          <w:trHeight w:val="440"/>
        </w:trPr>
        <w:tc>
          <w:tcPr>
            <w:tcW w:w="184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E9928EA" w14:textId="3A333E46" w:rsidR="009537E8" w:rsidRPr="008719F7" w:rsidRDefault="009537E8" w:rsidP="00FB5F96">
            <w:pPr>
              <w:jc w:val="center"/>
              <w:rPr>
                <w:rFonts w:ascii="Arial" w:eastAsia="Calibri" w:hAnsi="Arial" w:cs="Arial"/>
                <w:b/>
                <w:sz w:val="20"/>
                <w:szCs w:val="20"/>
              </w:rPr>
            </w:pPr>
            <w:r w:rsidRPr="008719F7">
              <w:rPr>
                <w:rFonts w:ascii="Arial" w:eastAsia="Times New Roman" w:hAnsi="Arial" w:cs="Arial"/>
                <w:sz w:val="20"/>
                <w:szCs w:val="20"/>
              </w:rPr>
              <w:t>Pořadí zál</w:t>
            </w:r>
            <w:r w:rsidR="00FB5F96" w:rsidRPr="008719F7">
              <w:rPr>
                <w:rFonts w:ascii="Arial" w:eastAsia="Times New Roman" w:hAnsi="Arial" w:cs="Arial"/>
                <w:sz w:val="20"/>
                <w:szCs w:val="20"/>
              </w:rPr>
              <w:t>ohové</w:t>
            </w:r>
            <w:r w:rsidRPr="008719F7">
              <w:rPr>
                <w:rFonts w:ascii="Arial" w:eastAsia="Times New Roman" w:hAnsi="Arial" w:cs="Arial"/>
                <w:sz w:val="20"/>
                <w:szCs w:val="20"/>
              </w:rPr>
              <w:t xml:space="preserve"> platby</w:t>
            </w:r>
          </w:p>
        </w:tc>
        <w:tc>
          <w:tcPr>
            <w:tcW w:w="340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C367E8" w14:textId="45433A59" w:rsidR="009537E8" w:rsidRPr="008719F7" w:rsidRDefault="009537E8" w:rsidP="00FB5F96">
            <w:pPr>
              <w:jc w:val="center"/>
              <w:rPr>
                <w:rFonts w:ascii="Arial" w:eastAsia="Calibri" w:hAnsi="Arial" w:cs="Arial"/>
                <w:b/>
                <w:sz w:val="20"/>
                <w:szCs w:val="20"/>
              </w:rPr>
            </w:pPr>
            <w:r w:rsidRPr="008719F7">
              <w:rPr>
                <w:rFonts w:ascii="Arial" w:eastAsia="Times New Roman" w:hAnsi="Arial" w:cs="Arial"/>
                <w:sz w:val="20"/>
                <w:szCs w:val="20"/>
              </w:rPr>
              <w:t>Podíl zálohy z celkové výše dotace</w:t>
            </w:r>
          </w:p>
        </w:tc>
        <w:tc>
          <w:tcPr>
            <w:tcW w:w="35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7761363" w14:textId="7B855E2D" w:rsidR="009537E8" w:rsidRPr="008719F7" w:rsidRDefault="009537E8" w:rsidP="00FB5F96">
            <w:pPr>
              <w:jc w:val="center"/>
              <w:rPr>
                <w:rFonts w:ascii="Arial" w:eastAsia="Calibri" w:hAnsi="Arial" w:cs="Arial"/>
                <w:b/>
                <w:sz w:val="20"/>
                <w:szCs w:val="20"/>
              </w:rPr>
            </w:pPr>
            <w:r w:rsidRPr="008719F7">
              <w:rPr>
                <w:rFonts w:ascii="Arial" w:eastAsia="Times New Roman" w:hAnsi="Arial" w:cs="Arial"/>
                <w:sz w:val="20"/>
                <w:szCs w:val="20"/>
              </w:rPr>
              <w:t>Termín poskytnutí zálohy</w:t>
            </w:r>
          </w:p>
        </w:tc>
      </w:tr>
      <w:tr w:rsidR="00FB5F96" w:rsidRPr="008719F7" w14:paraId="2CF8F183" w14:textId="77777777" w:rsidTr="00FB5F96">
        <w:trPr>
          <w:trHeight w:val="520"/>
        </w:trPr>
        <w:tc>
          <w:tcPr>
            <w:tcW w:w="184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0D443C" w14:textId="77777777" w:rsidR="00FB5F96" w:rsidRPr="008719F7" w:rsidRDefault="00FB5F96" w:rsidP="00F31D8F">
            <w:pPr>
              <w:jc w:val="center"/>
              <w:rPr>
                <w:rFonts w:ascii="Arial" w:eastAsia="Calibri" w:hAnsi="Arial" w:cs="Arial"/>
                <w:sz w:val="20"/>
                <w:szCs w:val="20"/>
              </w:rPr>
            </w:pPr>
            <w:r w:rsidRPr="008719F7">
              <w:rPr>
                <w:rFonts w:ascii="Arial" w:eastAsia="Calibri" w:hAnsi="Arial" w:cs="Arial"/>
                <w:sz w:val="20"/>
                <w:szCs w:val="20"/>
              </w:rPr>
              <w:t>1.</w:t>
            </w:r>
          </w:p>
        </w:tc>
        <w:tc>
          <w:tcPr>
            <w:tcW w:w="340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D07B8E" w14:textId="3107786E" w:rsidR="00FB5F96" w:rsidRPr="008719F7" w:rsidRDefault="00F31D8F" w:rsidP="00F31D8F">
            <w:pPr>
              <w:jc w:val="center"/>
              <w:rPr>
                <w:rFonts w:ascii="Arial" w:eastAsia="Calibri" w:hAnsi="Arial" w:cs="Arial"/>
                <w:sz w:val="20"/>
                <w:szCs w:val="20"/>
                <w:highlight w:val="yellow"/>
              </w:rPr>
            </w:pPr>
            <w:proofErr w:type="spellStart"/>
            <w:r w:rsidRPr="008719F7">
              <w:rPr>
                <w:rFonts w:ascii="Arial" w:eastAsia="Calibri" w:hAnsi="Arial" w:cs="Arial"/>
                <w:sz w:val="20"/>
                <w:szCs w:val="20"/>
                <w:highlight w:val="lightGray"/>
              </w:rPr>
              <w:t>xx</w:t>
            </w:r>
            <w:proofErr w:type="spellEnd"/>
            <w:r w:rsidRPr="008719F7">
              <w:rPr>
                <w:rFonts w:ascii="Arial" w:eastAsia="Calibri" w:hAnsi="Arial" w:cs="Arial"/>
                <w:sz w:val="20"/>
                <w:szCs w:val="20"/>
                <w:highlight w:val="lightGray"/>
              </w:rPr>
              <w:t xml:space="preserve"> %</w:t>
            </w:r>
          </w:p>
        </w:tc>
        <w:tc>
          <w:tcPr>
            <w:tcW w:w="35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520F8E4" w14:textId="61822ADA" w:rsidR="00FB5F96" w:rsidRPr="008719F7" w:rsidRDefault="00FB5F96" w:rsidP="00551008">
            <w:pPr>
              <w:rPr>
                <w:rFonts w:ascii="Arial" w:eastAsia="Calibri" w:hAnsi="Arial" w:cs="Arial"/>
                <w:sz w:val="20"/>
                <w:szCs w:val="20"/>
              </w:rPr>
            </w:pPr>
            <w:r w:rsidRPr="008719F7">
              <w:rPr>
                <w:rFonts w:ascii="Arial" w:eastAsia="Calibri" w:hAnsi="Arial" w:cs="Arial"/>
                <w:sz w:val="20"/>
                <w:szCs w:val="20"/>
              </w:rPr>
              <w:t xml:space="preserve">do </w:t>
            </w:r>
            <w:r w:rsidR="009153BE" w:rsidRPr="008719F7">
              <w:rPr>
                <w:rFonts w:ascii="Arial" w:eastAsia="Calibri" w:hAnsi="Arial" w:cs="Arial"/>
                <w:sz w:val="20"/>
                <w:szCs w:val="20"/>
              </w:rPr>
              <w:t xml:space="preserve">60 </w:t>
            </w:r>
            <w:r w:rsidRPr="008719F7">
              <w:rPr>
                <w:rFonts w:ascii="Arial" w:eastAsia="Calibri" w:hAnsi="Arial" w:cs="Arial"/>
                <w:sz w:val="20"/>
                <w:szCs w:val="20"/>
              </w:rPr>
              <w:t>dní po vydání Rozhodnutí</w:t>
            </w:r>
          </w:p>
        </w:tc>
      </w:tr>
      <w:tr w:rsidR="00FB5F96" w:rsidRPr="008719F7" w14:paraId="7CEDBD57" w14:textId="77777777" w:rsidTr="00FB5F96">
        <w:trPr>
          <w:trHeight w:val="520"/>
        </w:trPr>
        <w:tc>
          <w:tcPr>
            <w:tcW w:w="184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891FAA" w14:textId="26D6153F" w:rsidR="00FB5F96" w:rsidRPr="008719F7" w:rsidRDefault="00FB5F96" w:rsidP="00F31D8F">
            <w:pPr>
              <w:jc w:val="center"/>
              <w:rPr>
                <w:rFonts w:ascii="Arial" w:eastAsia="Calibri" w:hAnsi="Arial" w:cs="Arial"/>
                <w:sz w:val="20"/>
                <w:szCs w:val="20"/>
                <w:highlight w:val="lightGray"/>
              </w:rPr>
            </w:pPr>
            <w:r w:rsidRPr="008719F7">
              <w:rPr>
                <w:rFonts w:ascii="Arial" w:eastAsia="Calibri" w:hAnsi="Arial" w:cs="Arial"/>
                <w:sz w:val="20"/>
                <w:szCs w:val="20"/>
                <w:highlight w:val="lightGray"/>
              </w:rPr>
              <w:t>2.</w:t>
            </w:r>
          </w:p>
        </w:tc>
        <w:tc>
          <w:tcPr>
            <w:tcW w:w="340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870F383" w14:textId="1D46F863" w:rsidR="00FB5F96" w:rsidRPr="008719F7" w:rsidRDefault="00F31D8F" w:rsidP="00F31D8F">
            <w:pPr>
              <w:jc w:val="center"/>
              <w:rPr>
                <w:rFonts w:ascii="Arial" w:eastAsia="Calibri" w:hAnsi="Arial" w:cs="Arial"/>
                <w:sz w:val="20"/>
                <w:szCs w:val="20"/>
                <w:highlight w:val="lightGray"/>
              </w:rPr>
            </w:pPr>
            <w:proofErr w:type="spellStart"/>
            <w:r w:rsidRPr="008719F7">
              <w:rPr>
                <w:rFonts w:ascii="Arial" w:eastAsia="Calibri" w:hAnsi="Arial" w:cs="Arial"/>
                <w:sz w:val="20"/>
                <w:szCs w:val="20"/>
                <w:highlight w:val="lightGray"/>
              </w:rPr>
              <w:t>xx</w:t>
            </w:r>
            <w:proofErr w:type="spellEnd"/>
            <w:r w:rsidRPr="008719F7">
              <w:rPr>
                <w:rFonts w:ascii="Arial" w:eastAsia="Calibri" w:hAnsi="Arial" w:cs="Arial"/>
                <w:sz w:val="20"/>
                <w:szCs w:val="20"/>
                <w:highlight w:val="lightGray"/>
              </w:rPr>
              <w:t xml:space="preserve"> %</w:t>
            </w:r>
          </w:p>
        </w:tc>
        <w:tc>
          <w:tcPr>
            <w:tcW w:w="35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3ADAEE" w14:textId="4D3D8134" w:rsidR="00FB5F96" w:rsidRPr="008719F7" w:rsidRDefault="00FB5F96" w:rsidP="009537E8">
            <w:pPr>
              <w:rPr>
                <w:rFonts w:ascii="Arial" w:eastAsia="Calibri" w:hAnsi="Arial" w:cs="Arial"/>
                <w:sz w:val="20"/>
                <w:szCs w:val="20"/>
                <w:highlight w:val="lightGray"/>
              </w:rPr>
            </w:pPr>
            <w:r w:rsidRPr="008719F7">
              <w:rPr>
                <w:rFonts w:ascii="Arial" w:eastAsia="Calibri" w:hAnsi="Arial" w:cs="Arial"/>
                <w:sz w:val="20"/>
                <w:szCs w:val="20"/>
                <w:highlight w:val="lightGray"/>
              </w:rPr>
              <w:t>cca I. čtvrtletí roku 2021</w:t>
            </w:r>
          </w:p>
        </w:tc>
      </w:tr>
      <w:tr w:rsidR="00FB5F96" w:rsidRPr="008719F7" w14:paraId="41FEAAC6" w14:textId="77777777" w:rsidTr="00FB5F96">
        <w:trPr>
          <w:trHeight w:val="520"/>
        </w:trPr>
        <w:tc>
          <w:tcPr>
            <w:tcW w:w="184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36973D" w14:textId="05ECC7EE" w:rsidR="00FB5F96" w:rsidRPr="008719F7" w:rsidRDefault="00FB5F96" w:rsidP="00F31D8F">
            <w:pPr>
              <w:jc w:val="center"/>
              <w:rPr>
                <w:rFonts w:ascii="Arial" w:eastAsia="Calibri" w:hAnsi="Arial" w:cs="Arial"/>
                <w:sz w:val="20"/>
                <w:szCs w:val="20"/>
                <w:highlight w:val="lightGray"/>
              </w:rPr>
            </w:pPr>
            <w:r w:rsidRPr="008719F7">
              <w:rPr>
                <w:rFonts w:ascii="Arial" w:eastAsia="Calibri" w:hAnsi="Arial" w:cs="Arial"/>
                <w:sz w:val="20"/>
                <w:szCs w:val="20"/>
                <w:highlight w:val="lightGray"/>
              </w:rPr>
              <w:t>3.</w:t>
            </w:r>
          </w:p>
        </w:tc>
        <w:tc>
          <w:tcPr>
            <w:tcW w:w="340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8C03E7" w14:textId="46B3A08B" w:rsidR="00FB5F96" w:rsidRPr="008719F7" w:rsidRDefault="00F31D8F" w:rsidP="00F31D8F">
            <w:pPr>
              <w:jc w:val="center"/>
              <w:rPr>
                <w:rFonts w:ascii="Arial" w:eastAsia="Calibri" w:hAnsi="Arial" w:cs="Arial"/>
                <w:sz w:val="20"/>
                <w:szCs w:val="20"/>
                <w:highlight w:val="lightGray"/>
              </w:rPr>
            </w:pPr>
            <w:proofErr w:type="spellStart"/>
            <w:r w:rsidRPr="008719F7">
              <w:rPr>
                <w:rFonts w:ascii="Arial" w:eastAsia="Calibri" w:hAnsi="Arial" w:cs="Arial"/>
                <w:sz w:val="20"/>
                <w:szCs w:val="20"/>
                <w:highlight w:val="lightGray"/>
              </w:rPr>
              <w:t>xx</w:t>
            </w:r>
            <w:proofErr w:type="spellEnd"/>
            <w:r w:rsidRPr="008719F7">
              <w:rPr>
                <w:rFonts w:ascii="Arial" w:eastAsia="Calibri" w:hAnsi="Arial" w:cs="Arial"/>
                <w:sz w:val="20"/>
                <w:szCs w:val="20"/>
                <w:highlight w:val="lightGray"/>
              </w:rPr>
              <w:t xml:space="preserve"> %</w:t>
            </w:r>
          </w:p>
        </w:tc>
        <w:tc>
          <w:tcPr>
            <w:tcW w:w="355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7E7296" w14:textId="63354CF5" w:rsidR="00FB5F96" w:rsidRPr="008719F7" w:rsidRDefault="00FB5F96" w:rsidP="009537E8">
            <w:pPr>
              <w:rPr>
                <w:rFonts w:ascii="Arial" w:eastAsia="Calibri" w:hAnsi="Arial" w:cs="Arial"/>
                <w:sz w:val="20"/>
                <w:szCs w:val="20"/>
                <w:highlight w:val="lightGray"/>
              </w:rPr>
            </w:pPr>
            <w:r w:rsidRPr="008719F7">
              <w:rPr>
                <w:rFonts w:ascii="Arial" w:eastAsia="Calibri" w:hAnsi="Arial" w:cs="Arial"/>
                <w:sz w:val="20"/>
                <w:szCs w:val="20"/>
                <w:highlight w:val="lightGray"/>
              </w:rPr>
              <w:t>cca I. čtvrtletí roku 2022</w:t>
            </w:r>
          </w:p>
        </w:tc>
      </w:tr>
    </w:tbl>
    <w:p w14:paraId="0227C234" w14:textId="77777777" w:rsidR="009537E8" w:rsidRPr="008719F7" w:rsidRDefault="009537E8" w:rsidP="009537E8">
      <w:pPr>
        <w:pBdr>
          <w:top w:val="nil"/>
          <w:left w:val="nil"/>
          <w:bottom w:val="nil"/>
          <w:right w:val="nil"/>
          <w:between w:val="nil"/>
        </w:pBdr>
        <w:ind w:left="360"/>
        <w:rPr>
          <w:rFonts w:ascii="Arial" w:eastAsia="Times New Roman" w:hAnsi="Arial" w:cs="Arial"/>
          <w:sz w:val="20"/>
          <w:szCs w:val="20"/>
          <w:highlight w:val="yellow"/>
        </w:rPr>
      </w:pPr>
    </w:p>
    <w:p w14:paraId="37B635BC" w14:textId="791746AD" w:rsidR="009537E8" w:rsidRPr="008719F7" w:rsidRDefault="009537E8" w:rsidP="00995E23">
      <w:pPr>
        <w:numPr>
          <w:ilvl w:val="0"/>
          <w:numId w:val="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lastRenderedPageBreak/>
        <w:t>Zbývající část dotace bude Příjemci proplacena na základě schválení</w:t>
      </w:r>
      <w:r w:rsidR="00C04DA4" w:rsidRPr="008719F7">
        <w:rPr>
          <w:rFonts w:ascii="Arial" w:eastAsia="Calibri" w:hAnsi="Arial" w:cs="Arial"/>
          <w:color w:val="000000"/>
          <w:sz w:val="20"/>
          <w:szCs w:val="20"/>
        </w:rPr>
        <w:t xml:space="preserve"> dokumentace k monitorování a vyúčtování dotace za</w:t>
      </w:r>
      <w:r w:rsidRPr="008719F7">
        <w:rPr>
          <w:rFonts w:ascii="Arial" w:eastAsia="Calibri" w:hAnsi="Arial" w:cs="Arial"/>
          <w:color w:val="000000"/>
          <w:sz w:val="20"/>
          <w:szCs w:val="20"/>
        </w:rPr>
        <w:t xml:space="preserve"> posledního </w:t>
      </w:r>
      <w:r w:rsidR="00C04DA4" w:rsidRPr="008719F7">
        <w:rPr>
          <w:rFonts w:ascii="Arial" w:eastAsia="Calibri" w:hAnsi="Arial" w:cs="Arial"/>
          <w:color w:val="000000"/>
          <w:sz w:val="20"/>
          <w:szCs w:val="20"/>
        </w:rPr>
        <w:t>monitorovací období</w:t>
      </w:r>
      <w:r w:rsidRPr="008719F7">
        <w:rPr>
          <w:rFonts w:ascii="Arial" w:eastAsia="Calibri" w:hAnsi="Arial" w:cs="Arial"/>
          <w:color w:val="000000"/>
          <w:sz w:val="20"/>
          <w:szCs w:val="20"/>
        </w:rPr>
        <w:t xml:space="preserve">. </w:t>
      </w:r>
    </w:p>
    <w:p w14:paraId="766A5587" w14:textId="62E62DCD" w:rsidR="009974F4" w:rsidRPr="008719F7" w:rsidRDefault="009974F4" w:rsidP="00995E23">
      <w:pPr>
        <w:numPr>
          <w:ilvl w:val="0"/>
          <w:numId w:val="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V případě, že po ukončení dotace celková výše záloh</w:t>
      </w:r>
      <w:r w:rsidR="00043137"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poukázaná ve prospěch účtu </w:t>
      </w:r>
      <w:r w:rsidRPr="008719F7">
        <w:rPr>
          <w:rFonts w:ascii="Arial" w:eastAsia="Calibri" w:hAnsi="Arial" w:cs="Arial"/>
          <w:color w:val="000000"/>
          <w:sz w:val="20"/>
          <w:szCs w:val="20"/>
          <w:highlight w:val="lightGray"/>
        </w:rPr>
        <w:t>Příjemce</w:t>
      </w:r>
      <w:r w:rsidR="00C04DA4" w:rsidRPr="008719F7">
        <w:rPr>
          <w:rFonts w:ascii="Arial" w:eastAsia="Calibri" w:hAnsi="Arial" w:cs="Arial"/>
          <w:color w:val="000000"/>
          <w:sz w:val="20"/>
          <w:szCs w:val="20"/>
          <w:highlight w:val="lightGray"/>
        </w:rPr>
        <w:t>/zřizovatele</w:t>
      </w:r>
      <w:r w:rsidRPr="008719F7">
        <w:rPr>
          <w:rFonts w:ascii="Arial" w:eastAsia="Calibri" w:hAnsi="Arial" w:cs="Arial"/>
          <w:color w:val="000000"/>
          <w:sz w:val="20"/>
          <w:szCs w:val="20"/>
        </w:rPr>
        <w:t xml:space="preserve"> uvedeného v</w:t>
      </w:r>
      <w:r w:rsidR="00C04DA4" w:rsidRPr="008719F7">
        <w:rPr>
          <w:rFonts w:ascii="Arial" w:eastAsia="Calibri" w:hAnsi="Arial" w:cs="Arial"/>
          <w:color w:val="000000"/>
          <w:sz w:val="20"/>
          <w:szCs w:val="20"/>
        </w:rPr>
        <w:t xml:space="preserve"> tomto </w:t>
      </w:r>
      <w:r w:rsidRPr="008719F7">
        <w:rPr>
          <w:rFonts w:ascii="Arial" w:eastAsia="Calibri" w:hAnsi="Arial" w:cs="Arial"/>
          <w:color w:val="000000"/>
          <w:sz w:val="20"/>
          <w:szCs w:val="20"/>
        </w:rPr>
        <w:t>Rozhodnutí</w:t>
      </w:r>
      <w:r w:rsidR="00043137"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převýší částku, která by dle celkových způsobilých výdajů stanovených na základě všech vyúčtování </w:t>
      </w:r>
      <w:r w:rsidR="0063422B" w:rsidRPr="008719F7">
        <w:rPr>
          <w:rFonts w:ascii="Arial" w:eastAsia="Calibri" w:hAnsi="Arial" w:cs="Arial"/>
          <w:color w:val="000000"/>
          <w:sz w:val="20"/>
          <w:szCs w:val="20"/>
        </w:rPr>
        <w:t>dotace</w:t>
      </w:r>
      <w:r w:rsidRPr="008719F7">
        <w:rPr>
          <w:rFonts w:ascii="Arial" w:eastAsia="Calibri" w:hAnsi="Arial" w:cs="Arial"/>
          <w:color w:val="000000"/>
          <w:sz w:val="20"/>
          <w:szCs w:val="20"/>
        </w:rPr>
        <w:t xml:space="preserve"> </w:t>
      </w:r>
      <w:r w:rsidR="00C04DA4" w:rsidRPr="008719F7">
        <w:rPr>
          <w:rFonts w:ascii="Arial" w:eastAsia="Calibri" w:hAnsi="Arial" w:cs="Arial"/>
          <w:color w:val="000000"/>
          <w:sz w:val="20"/>
          <w:szCs w:val="20"/>
        </w:rPr>
        <w:t xml:space="preserve">v předložené dokumentaci </w:t>
      </w:r>
      <w:r w:rsidRPr="008719F7">
        <w:rPr>
          <w:rFonts w:ascii="Arial" w:eastAsia="Calibri" w:hAnsi="Arial" w:cs="Arial"/>
          <w:color w:val="000000"/>
          <w:sz w:val="20"/>
          <w:szCs w:val="20"/>
        </w:rPr>
        <w:t xml:space="preserve">měla být z dotace poskytnuta, je </w:t>
      </w:r>
      <w:r w:rsidRPr="008719F7">
        <w:rPr>
          <w:rFonts w:ascii="Arial" w:eastAsia="Calibri" w:hAnsi="Arial" w:cs="Arial"/>
          <w:color w:val="000000"/>
          <w:sz w:val="20"/>
          <w:szCs w:val="20"/>
          <w:highlight w:val="lightGray"/>
        </w:rPr>
        <w:t>Příjemce</w:t>
      </w:r>
      <w:r w:rsidR="00C04DA4" w:rsidRPr="008719F7">
        <w:rPr>
          <w:rFonts w:ascii="Arial" w:eastAsia="Calibri" w:hAnsi="Arial" w:cs="Arial"/>
          <w:color w:val="000000"/>
          <w:sz w:val="20"/>
          <w:szCs w:val="20"/>
          <w:highlight w:val="lightGray"/>
        </w:rPr>
        <w:t>/zřizovatel</w:t>
      </w:r>
      <w:r w:rsidRPr="008719F7">
        <w:rPr>
          <w:rFonts w:ascii="Arial" w:eastAsia="Calibri" w:hAnsi="Arial" w:cs="Arial"/>
          <w:color w:val="000000"/>
          <w:sz w:val="20"/>
          <w:szCs w:val="20"/>
        </w:rPr>
        <w:t xml:space="preserve"> povinen rozdíl vrátit Poskytovateli dotace. </w:t>
      </w:r>
    </w:p>
    <w:p w14:paraId="68601B58" w14:textId="43F44367" w:rsidR="009974F4" w:rsidRPr="008719F7" w:rsidRDefault="009974F4" w:rsidP="00995E23">
      <w:pPr>
        <w:numPr>
          <w:ilvl w:val="0"/>
          <w:numId w:val="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Příjemce je povinen rozdíl dle části III., bod </w:t>
      </w:r>
      <w:r w:rsidR="009537E8" w:rsidRPr="008719F7">
        <w:rPr>
          <w:rFonts w:ascii="Arial" w:eastAsia="Calibri" w:hAnsi="Arial" w:cs="Arial"/>
          <w:color w:val="000000"/>
          <w:sz w:val="20"/>
          <w:szCs w:val="20"/>
        </w:rPr>
        <w:t>5</w:t>
      </w:r>
      <w:r w:rsidR="00137165" w:rsidRPr="008719F7">
        <w:rPr>
          <w:rFonts w:ascii="Arial" w:eastAsia="Calibri" w:hAnsi="Arial" w:cs="Arial"/>
          <w:color w:val="000000"/>
          <w:sz w:val="20"/>
          <w:szCs w:val="20"/>
        </w:rPr>
        <w:t>. tohoto R</w:t>
      </w:r>
      <w:r w:rsidRPr="008719F7">
        <w:rPr>
          <w:rFonts w:ascii="Arial" w:eastAsia="Calibri" w:hAnsi="Arial" w:cs="Arial"/>
          <w:color w:val="000000"/>
          <w:sz w:val="20"/>
          <w:szCs w:val="20"/>
        </w:rPr>
        <w:t>ozhodnutí navrátit v</w:t>
      </w:r>
      <w:r w:rsidR="0070154B" w:rsidRPr="008719F7">
        <w:rPr>
          <w:rFonts w:ascii="Arial" w:eastAsia="Calibri" w:hAnsi="Arial" w:cs="Arial"/>
          <w:color w:val="000000"/>
          <w:sz w:val="20"/>
          <w:szCs w:val="20"/>
        </w:rPr>
        <w:t>e lhůtě</w:t>
      </w:r>
      <w:r w:rsidRPr="008719F7">
        <w:rPr>
          <w:rFonts w:ascii="Arial" w:eastAsia="Calibri" w:hAnsi="Arial" w:cs="Arial"/>
          <w:color w:val="000000"/>
          <w:sz w:val="20"/>
          <w:szCs w:val="20"/>
        </w:rPr>
        <w:t xml:space="preserve"> a</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způsobem stanovenými Poskytovatelem dotace.</w:t>
      </w:r>
    </w:p>
    <w:p w14:paraId="7AD8E163" w14:textId="77777777" w:rsidR="000C163D" w:rsidRPr="008719F7" w:rsidRDefault="000C163D" w:rsidP="000C163D">
      <w:pPr>
        <w:pBdr>
          <w:top w:val="nil"/>
          <w:left w:val="nil"/>
          <w:bottom w:val="nil"/>
          <w:right w:val="nil"/>
          <w:between w:val="nil"/>
        </w:pBdr>
        <w:spacing w:after="120" w:line="276" w:lineRule="auto"/>
        <w:rPr>
          <w:rFonts w:ascii="Arial" w:eastAsia="Calibri" w:hAnsi="Arial" w:cs="Arial"/>
          <w:b/>
          <w:color w:val="000000"/>
          <w:sz w:val="20"/>
          <w:szCs w:val="20"/>
        </w:rPr>
      </w:pPr>
    </w:p>
    <w:p w14:paraId="60DC2685" w14:textId="77777777" w:rsidR="009974F4" w:rsidRPr="008719F7" w:rsidRDefault="009974F4" w:rsidP="000948B4">
      <w:pPr>
        <w:spacing w:after="120" w:line="276" w:lineRule="auto"/>
        <w:rPr>
          <w:rFonts w:ascii="Arial" w:eastAsia="Calibri" w:hAnsi="Arial" w:cs="Arial"/>
          <w:sz w:val="20"/>
          <w:szCs w:val="20"/>
        </w:rPr>
      </w:pPr>
    </w:p>
    <w:p w14:paraId="78BEA849" w14:textId="77777777"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 xml:space="preserve">ČÁST IV. </w:t>
      </w:r>
    </w:p>
    <w:p w14:paraId="454AEEE8" w14:textId="77777777" w:rsidR="009974F4" w:rsidRPr="008719F7" w:rsidRDefault="009974F4"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SANKCE ZA NESPLNĚNÍ PODMÍNEK DLE ČÁSTI II. TOHOTO ROZHODNUTÍ</w:t>
      </w:r>
    </w:p>
    <w:p w14:paraId="66BC13D2" w14:textId="77777777" w:rsidR="009974F4" w:rsidRPr="008719F7" w:rsidRDefault="009974F4" w:rsidP="00995E23">
      <w:pPr>
        <w:keepNext/>
        <w:numPr>
          <w:ilvl w:val="0"/>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b/>
          <w:color w:val="000000"/>
          <w:sz w:val="20"/>
          <w:szCs w:val="20"/>
        </w:rPr>
        <w:t>Pozastavení financování</w:t>
      </w:r>
    </w:p>
    <w:p w14:paraId="3F6294A7" w14:textId="4C12EE50" w:rsidR="009974F4" w:rsidRPr="008719F7" w:rsidRDefault="009974F4" w:rsidP="000948B4">
      <w:pPr>
        <w:pBdr>
          <w:top w:val="nil"/>
          <w:left w:val="nil"/>
          <w:bottom w:val="nil"/>
          <w:right w:val="nil"/>
          <w:between w:val="nil"/>
        </w:pBdr>
        <w:spacing w:after="120" w:line="276" w:lineRule="auto"/>
        <w:rPr>
          <w:rFonts w:ascii="Arial" w:eastAsia="Calibri" w:hAnsi="Arial" w:cs="Arial"/>
          <w:sz w:val="20"/>
          <w:szCs w:val="20"/>
        </w:rPr>
      </w:pPr>
      <w:r w:rsidRPr="008719F7">
        <w:rPr>
          <w:rFonts w:ascii="Arial" w:eastAsia="Calibri" w:hAnsi="Arial" w:cs="Arial"/>
          <w:sz w:val="20"/>
          <w:szCs w:val="20"/>
        </w:rPr>
        <w:t xml:space="preserve">Pokud Poskytovatel dotace nebo jiná osoba oprávněná ke kontrole dodržování </w:t>
      </w:r>
      <w:r w:rsidR="0070154B" w:rsidRPr="008719F7">
        <w:rPr>
          <w:rFonts w:ascii="Arial" w:eastAsia="Calibri" w:hAnsi="Arial" w:cs="Arial"/>
          <w:sz w:val="20"/>
          <w:szCs w:val="20"/>
        </w:rPr>
        <w:t>povinností</w:t>
      </w:r>
      <w:r w:rsidRPr="008719F7">
        <w:rPr>
          <w:rFonts w:ascii="Arial" w:eastAsia="Calibri" w:hAnsi="Arial" w:cs="Arial"/>
          <w:sz w:val="20"/>
          <w:szCs w:val="20"/>
        </w:rPr>
        <w:t xml:space="preserve"> dle tohoto Rozhodnutí zjistí, že </w:t>
      </w:r>
      <w:r w:rsidR="007D31F3" w:rsidRPr="008719F7">
        <w:rPr>
          <w:rFonts w:ascii="Arial" w:eastAsia="Calibri" w:hAnsi="Arial" w:cs="Arial"/>
          <w:sz w:val="20"/>
          <w:szCs w:val="20"/>
        </w:rPr>
        <w:t>P</w:t>
      </w:r>
      <w:r w:rsidRPr="008719F7">
        <w:rPr>
          <w:rFonts w:ascii="Arial" w:eastAsia="Calibri" w:hAnsi="Arial" w:cs="Arial"/>
          <w:sz w:val="20"/>
          <w:szCs w:val="20"/>
        </w:rPr>
        <w:t xml:space="preserve">říjemce nesplnil nebo neplní některou z povinností uvedených v tomto Rozhodnutí, je Poskytovatel dotace oprávněn pozastavit financování a zahájit potřebné kroky vedoucí k identifikaci, zda nevzniklo podezření na porušení rozpočtové kázně podle </w:t>
      </w:r>
      <w:r w:rsidR="007D31F3" w:rsidRPr="008719F7">
        <w:rPr>
          <w:rFonts w:ascii="Arial" w:eastAsia="Calibri" w:hAnsi="Arial" w:cs="Arial"/>
          <w:sz w:val="20"/>
          <w:szCs w:val="20"/>
        </w:rPr>
        <w:t>R</w:t>
      </w:r>
      <w:r w:rsidRPr="008719F7">
        <w:rPr>
          <w:rFonts w:ascii="Arial" w:eastAsia="Calibri" w:hAnsi="Arial" w:cs="Arial"/>
          <w:sz w:val="20"/>
          <w:szCs w:val="20"/>
        </w:rPr>
        <w:t>ozpočtových pravidel.</w:t>
      </w:r>
    </w:p>
    <w:p w14:paraId="43ED9765" w14:textId="77777777" w:rsidR="009974F4" w:rsidRPr="008719F7" w:rsidRDefault="009974F4" w:rsidP="00995E23">
      <w:pPr>
        <w:keepNext/>
        <w:numPr>
          <w:ilvl w:val="0"/>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b/>
          <w:color w:val="000000"/>
          <w:sz w:val="20"/>
          <w:szCs w:val="20"/>
        </w:rPr>
        <w:t>Diferenciace odvodu za porušení rozpočtové kázně dle závažnosti porušení podmínek</w:t>
      </w:r>
    </w:p>
    <w:p w14:paraId="0CD5D789" w14:textId="1848B55E" w:rsidR="009974F4" w:rsidRPr="008719F7" w:rsidRDefault="009974F4" w:rsidP="00995E23">
      <w:pPr>
        <w:numPr>
          <w:ilvl w:val="1"/>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bookmarkStart w:id="9" w:name="_Ref29670282"/>
      <w:r w:rsidRPr="008719F7">
        <w:rPr>
          <w:rFonts w:ascii="Arial" w:eastAsia="Calibri" w:hAnsi="Arial" w:cs="Arial"/>
          <w:color w:val="000000"/>
          <w:sz w:val="20"/>
          <w:szCs w:val="20"/>
        </w:rPr>
        <w:t>V případě porušení podmínek týkajících se účelu</w:t>
      </w:r>
      <w:r w:rsidR="007D31F3" w:rsidRPr="008719F7">
        <w:rPr>
          <w:rFonts w:ascii="Arial" w:eastAsia="Calibri" w:hAnsi="Arial" w:cs="Arial"/>
          <w:color w:val="000000"/>
          <w:sz w:val="20"/>
          <w:szCs w:val="20"/>
        </w:rPr>
        <w:t xml:space="preserve"> dotace</w:t>
      </w:r>
      <w:r w:rsidRPr="008719F7">
        <w:rPr>
          <w:rFonts w:ascii="Arial" w:eastAsia="Calibri" w:hAnsi="Arial" w:cs="Arial"/>
          <w:color w:val="000000"/>
          <w:sz w:val="20"/>
          <w:szCs w:val="20"/>
        </w:rPr>
        <w:t xml:space="preserve"> (</w:t>
      </w:r>
      <w:r w:rsidR="00B1386A" w:rsidRPr="008719F7">
        <w:rPr>
          <w:rFonts w:ascii="Arial" w:eastAsia="Calibri" w:hAnsi="Arial" w:cs="Arial"/>
          <w:color w:val="000000"/>
          <w:sz w:val="20"/>
          <w:szCs w:val="20"/>
        </w:rPr>
        <w:t xml:space="preserve">dle </w:t>
      </w:r>
      <w:r w:rsidRPr="008719F7">
        <w:rPr>
          <w:rFonts w:ascii="Arial" w:eastAsia="Calibri" w:hAnsi="Arial" w:cs="Arial"/>
          <w:color w:val="000000"/>
          <w:sz w:val="20"/>
          <w:szCs w:val="20"/>
        </w:rPr>
        <w:t>části II., bod</w:t>
      </w:r>
      <w:r w:rsidR="00C82BE3" w:rsidRPr="008719F7">
        <w:rPr>
          <w:rFonts w:ascii="Arial" w:eastAsia="Calibri" w:hAnsi="Arial" w:cs="Arial"/>
          <w:color w:val="000000"/>
          <w:sz w:val="20"/>
          <w:szCs w:val="20"/>
        </w:rPr>
        <w:t xml:space="preserve"> </w:t>
      </w:r>
      <w:r w:rsidR="00B1386A" w:rsidRPr="008719F7">
        <w:rPr>
          <w:rFonts w:ascii="Arial" w:eastAsia="Calibri" w:hAnsi="Arial" w:cs="Arial"/>
          <w:color w:val="000000"/>
          <w:sz w:val="20"/>
          <w:szCs w:val="20"/>
        </w:rPr>
        <w:t>2</w:t>
      </w:r>
      <w:r w:rsidRPr="008719F7">
        <w:rPr>
          <w:rFonts w:ascii="Arial" w:eastAsia="Calibri" w:hAnsi="Arial" w:cs="Arial"/>
          <w:color w:val="000000"/>
          <w:sz w:val="20"/>
          <w:szCs w:val="20"/>
        </w:rPr>
        <w:t xml:space="preserve"> tohoto Rozhodnutí) bude vyměřen odvod za porušení rozpočtové kázně ve výši celkové dosud vyplacené částky dotace podle § 44a odst. 4 písm. b) </w:t>
      </w:r>
      <w:r w:rsidR="007D31F3" w:rsidRPr="008719F7">
        <w:rPr>
          <w:rFonts w:ascii="Arial" w:eastAsia="Calibri" w:hAnsi="Arial" w:cs="Arial"/>
          <w:color w:val="000000"/>
          <w:sz w:val="20"/>
          <w:szCs w:val="20"/>
        </w:rPr>
        <w:t>R</w:t>
      </w:r>
      <w:r w:rsidRPr="008719F7">
        <w:rPr>
          <w:rFonts w:ascii="Arial" w:eastAsia="Calibri" w:hAnsi="Arial" w:cs="Arial"/>
          <w:color w:val="000000"/>
          <w:sz w:val="20"/>
          <w:szCs w:val="20"/>
        </w:rPr>
        <w:t>ozpočtových pravidel.</w:t>
      </w:r>
      <w:bookmarkEnd w:id="9"/>
      <w:r w:rsidRPr="008719F7">
        <w:rPr>
          <w:rFonts w:ascii="Arial" w:eastAsia="Calibri" w:hAnsi="Arial" w:cs="Arial"/>
          <w:color w:val="000000"/>
          <w:sz w:val="20"/>
          <w:szCs w:val="20"/>
        </w:rPr>
        <w:t xml:space="preserve"> </w:t>
      </w:r>
    </w:p>
    <w:p w14:paraId="02BA4E15" w14:textId="261FBF43" w:rsidR="009974F4" w:rsidRPr="008719F7" w:rsidRDefault="009974F4" w:rsidP="00995E23">
      <w:pPr>
        <w:numPr>
          <w:ilvl w:val="1"/>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V případě porušení podmínek neuvedených v části IV., bod</w:t>
      </w:r>
      <w:r w:rsidR="0070154B" w:rsidRPr="008719F7">
        <w:rPr>
          <w:rFonts w:ascii="Arial" w:eastAsia="Calibri" w:hAnsi="Arial" w:cs="Arial"/>
          <w:color w:val="000000"/>
          <w:sz w:val="20"/>
          <w:szCs w:val="20"/>
        </w:rPr>
        <w:t>y</w:t>
      </w:r>
      <w:r w:rsidR="00B1386A" w:rsidRPr="008719F7">
        <w:rPr>
          <w:rFonts w:ascii="Arial" w:eastAsia="Calibri" w:hAnsi="Arial" w:cs="Arial"/>
          <w:color w:val="000000"/>
          <w:sz w:val="20"/>
          <w:szCs w:val="20"/>
        </w:rPr>
        <w:t xml:space="preserve"> 2.1</w:t>
      </w:r>
      <w:r w:rsidR="001768B2" w:rsidRPr="008719F7">
        <w:rPr>
          <w:rFonts w:ascii="Arial" w:eastAsia="Calibri" w:hAnsi="Arial" w:cs="Arial"/>
          <w:color w:val="000000"/>
          <w:sz w:val="20"/>
          <w:szCs w:val="20"/>
        </w:rPr>
        <w:t xml:space="preserve">, </w:t>
      </w:r>
      <w:r w:rsidR="00B1386A" w:rsidRPr="008719F7">
        <w:rPr>
          <w:rFonts w:ascii="Arial" w:eastAsia="Calibri" w:hAnsi="Arial" w:cs="Arial"/>
          <w:color w:val="000000"/>
          <w:sz w:val="20"/>
          <w:szCs w:val="20"/>
        </w:rPr>
        <w:t>2.4</w:t>
      </w:r>
      <w:r w:rsidR="001768B2" w:rsidRPr="008719F7">
        <w:rPr>
          <w:rFonts w:ascii="Arial" w:eastAsia="Calibri" w:hAnsi="Arial" w:cs="Arial"/>
          <w:color w:val="000000"/>
          <w:sz w:val="20"/>
          <w:szCs w:val="20"/>
        </w:rPr>
        <w:t xml:space="preserve">, </w:t>
      </w:r>
      <w:r w:rsidR="00B1386A" w:rsidRPr="008719F7">
        <w:rPr>
          <w:rFonts w:ascii="Arial" w:eastAsia="Calibri" w:hAnsi="Arial" w:cs="Arial"/>
          <w:color w:val="000000"/>
          <w:sz w:val="20"/>
          <w:szCs w:val="20"/>
        </w:rPr>
        <w:t xml:space="preserve">2.5 </w:t>
      </w:r>
      <w:r w:rsidR="001768B2" w:rsidRPr="008719F7">
        <w:rPr>
          <w:rFonts w:ascii="Arial" w:eastAsia="Calibri" w:hAnsi="Arial" w:cs="Arial"/>
          <w:color w:val="000000"/>
          <w:sz w:val="20"/>
          <w:szCs w:val="20"/>
        </w:rPr>
        <w:t xml:space="preserve">a </w:t>
      </w:r>
      <w:r w:rsidR="00B1386A" w:rsidRPr="008719F7">
        <w:rPr>
          <w:rFonts w:ascii="Arial" w:eastAsia="Calibri" w:hAnsi="Arial" w:cs="Arial"/>
          <w:color w:val="000000"/>
          <w:sz w:val="20"/>
          <w:szCs w:val="20"/>
        </w:rPr>
        <w:t>3</w:t>
      </w:r>
      <w:r w:rsidR="001768B2" w:rsidRPr="008719F7">
        <w:rPr>
          <w:rFonts w:ascii="Arial" w:eastAsia="Calibri" w:hAnsi="Arial" w:cs="Arial"/>
          <w:color w:val="000000"/>
          <w:sz w:val="20"/>
          <w:szCs w:val="20"/>
        </w:rPr>
        <w:t xml:space="preserve"> </w:t>
      </w:r>
      <w:r w:rsidR="00137165" w:rsidRPr="008719F7">
        <w:rPr>
          <w:rFonts w:ascii="Arial" w:eastAsia="Calibri" w:hAnsi="Arial" w:cs="Arial"/>
          <w:color w:val="000000"/>
          <w:sz w:val="20"/>
          <w:szCs w:val="20"/>
        </w:rPr>
        <w:t>tohoto Rozhodnutí, u </w:t>
      </w:r>
      <w:r w:rsidRPr="008719F7">
        <w:rPr>
          <w:rFonts w:ascii="Arial" w:eastAsia="Calibri" w:hAnsi="Arial" w:cs="Arial"/>
          <w:color w:val="000000"/>
          <w:sz w:val="20"/>
          <w:szCs w:val="20"/>
        </w:rPr>
        <w:t xml:space="preserve">kterých lze vyčíslit výši porušení rozpočtové kázně (tj. porušení má jednoznačnou vazbu na způsobilé výdaje), bude vyměřen odvod podle § 44a odst. 4 písm. b) </w:t>
      </w:r>
      <w:r w:rsidR="007D31F3" w:rsidRPr="008719F7">
        <w:rPr>
          <w:rFonts w:ascii="Arial" w:eastAsia="Calibri" w:hAnsi="Arial" w:cs="Arial"/>
          <w:color w:val="000000"/>
          <w:sz w:val="20"/>
          <w:szCs w:val="20"/>
        </w:rPr>
        <w:t>R</w:t>
      </w:r>
      <w:r w:rsidRPr="008719F7">
        <w:rPr>
          <w:rFonts w:ascii="Arial" w:eastAsia="Calibri" w:hAnsi="Arial" w:cs="Arial"/>
          <w:color w:val="000000"/>
          <w:sz w:val="20"/>
          <w:szCs w:val="20"/>
        </w:rPr>
        <w:t xml:space="preserve">ozpočtových pravidel ve výši nezpůsobilých výdajů uhrazených z dotace. Výše odvodu za porušení rozpočtové kázně odpovídá částce nezpůsobilých výdajů. </w:t>
      </w:r>
    </w:p>
    <w:p w14:paraId="40522EA8" w14:textId="7BBF3A07" w:rsidR="009974F4" w:rsidRPr="008719F7" w:rsidRDefault="009974F4" w:rsidP="00995E23">
      <w:pPr>
        <w:numPr>
          <w:ilvl w:val="1"/>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Porušení povinností neuvedených v části IV., bod</w:t>
      </w:r>
      <w:r w:rsidR="0070154B" w:rsidRPr="008719F7">
        <w:rPr>
          <w:rFonts w:ascii="Arial" w:eastAsia="Calibri" w:hAnsi="Arial" w:cs="Arial"/>
          <w:color w:val="000000"/>
          <w:sz w:val="20"/>
          <w:szCs w:val="20"/>
        </w:rPr>
        <w:t>y</w:t>
      </w:r>
      <w:r w:rsidRPr="008719F7">
        <w:rPr>
          <w:rFonts w:ascii="Arial" w:eastAsia="Calibri" w:hAnsi="Arial" w:cs="Arial"/>
          <w:color w:val="000000"/>
          <w:sz w:val="20"/>
          <w:szCs w:val="20"/>
        </w:rPr>
        <w:t xml:space="preserve"> </w:t>
      </w:r>
      <w:r w:rsidR="00B1386A" w:rsidRPr="008719F7">
        <w:rPr>
          <w:rFonts w:ascii="Arial" w:eastAsia="Calibri" w:hAnsi="Arial" w:cs="Arial"/>
          <w:color w:val="000000"/>
          <w:sz w:val="20"/>
          <w:szCs w:val="20"/>
        </w:rPr>
        <w:t>2.1, 2.4, 2.5 a 3</w:t>
      </w:r>
      <w:r w:rsidRPr="008719F7">
        <w:rPr>
          <w:rFonts w:ascii="Arial" w:eastAsia="Calibri" w:hAnsi="Arial" w:cs="Arial"/>
          <w:color w:val="000000"/>
          <w:sz w:val="20"/>
          <w:szCs w:val="20"/>
        </w:rPr>
        <w:t>. tohoto Rozhodnutí, u</w:t>
      </w:r>
      <w:r w:rsidR="00FC5AA8" w:rsidRPr="008719F7">
        <w:rPr>
          <w:rFonts w:ascii="Arial" w:eastAsia="Calibri" w:hAnsi="Arial" w:cs="Arial"/>
          <w:color w:val="000000"/>
          <w:sz w:val="20"/>
          <w:szCs w:val="20"/>
        </w:rPr>
        <w:t> </w:t>
      </w:r>
      <w:r w:rsidRPr="008719F7">
        <w:rPr>
          <w:rFonts w:ascii="Arial" w:eastAsia="Calibri" w:hAnsi="Arial" w:cs="Arial"/>
          <w:color w:val="000000"/>
          <w:sz w:val="20"/>
          <w:szCs w:val="20"/>
        </w:rPr>
        <w:t>nichž není možné vyčíslit částku, v jaké byla porušena rozpočtová kázeň, povede podle §</w:t>
      </w:r>
      <w:r w:rsidR="006F5178" w:rsidRPr="008719F7">
        <w:rPr>
          <w:rFonts w:ascii="Arial" w:eastAsia="Calibri" w:hAnsi="Arial" w:cs="Arial"/>
          <w:color w:val="000000"/>
          <w:sz w:val="20"/>
          <w:szCs w:val="20"/>
        </w:rPr>
        <w:t> </w:t>
      </w:r>
      <w:r w:rsidRPr="008719F7">
        <w:rPr>
          <w:rFonts w:ascii="Arial" w:eastAsia="Calibri" w:hAnsi="Arial" w:cs="Arial"/>
          <w:color w:val="000000"/>
          <w:sz w:val="20"/>
          <w:szCs w:val="20"/>
        </w:rPr>
        <w:t xml:space="preserve">44a odst. 4 písm. b) </w:t>
      </w:r>
      <w:r w:rsidR="007D31F3" w:rsidRPr="008719F7">
        <w:rPr>
          <w:rFonts w:ascii="Arial" w:eastAsia="Calibri" w:hAnsi="Arial" w:cs="Arial"/>
          <w:color w:val="000000"/>
          <w:sz w:val="20"/>
          <w:szCs w:val="20"/>
        </w:rPr>
        <w:t>R</w:t>
      </w:r>
      <w:r w:rsidRPr="008719F7">
        <w:rPr>
          <w:rFonts w:ascii="Arial" w:eastAsia="Calibri" w:hAnsi="Arial" w:cs="Arial"/>
          <w:color w:val="000000"/>
          <w:sz w:val="20"/>
          <w:szCs w:val="20"/>
        </w:rPr>
        <w:t>ozpočtových pravidel k odvodu za porušení rozpočtové kázně ve výši celkové dosud vyplacené částky dotace.</w:t>
      </w:r>
    </w:p>
    <w:p w14:paraId="19A113BC" w14:textId="77777777" w:rsidR="009974F4" w:rsidRPr="008719F7" w:rsidRDefault="009974F4" w:rsidP="00995E23">
      <w:pPr>
        <w:numPr>
          <w:ilvl w:val="1"/>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bookmarkStart w:id="10" w:name="_Ref29794112"/>
      <w:r w:rsidRPr="008719F7">
        <w:rPr>
          <w:rFonts w:ascii="Arial" w:eastAsia="Calibri" w:hAnsi="Arial" w:cs="Arial"/>
          <w:color w:val="000000"/>
          <w:sz w:val="20"/>
          <w:szCs w:val="20"/>
        </w:rPr>
        <w:t>V případě, že:</w:t>
      </w:r>
      <w:bookmarkEnd w:id="10"/>
      <w:r w:rsidRPr="008719F7">
        <w:rPr>
          <w:rFonts w:ascii="Arial" w:eastAsia="Calibri" w:hAnsi="Arial" w:cs="Arial"/>
          <w:color w:val="000000"/>
          <w:sz w:val="20"/>
          <w:szCs w:val="20"/>
        </w:rPr>
        <w:t xml:space="preserve"> </w:t>
      </w:r>
    </w:p>
    <w:p w14:paraId="478C573D" w14:textId="60A76256" w:rsidR="009974F4" w:rsidRPr="008719F7" w:rsidRDefault="009974F4" w:rsidP="00BD54B3">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předložit dokument</w:t>
      </w:r>
      <w:r w:rsidR="00A95A99" w:rsidRPr="008719F7">
        <w:rPr>
          <w:rFonts w:ascii="Arial" w:eastAsia="Calibri" w:hAnsi="Arial" w:cs="Arial"/>
          <w:color w:val="000000"/>
          <w:sz w:val="20"/>
          <w:szCs w:val="20"/>
        </w:rPr>
        <w:t>aci</w:t>
      </w:r>
      <w:r w:rsidR="008F1C8B" w:rsidRPr="008719F7">
        <w:rPr>
          <w:rFonts w:ascii="Arial" w:eastAsia="Calibri" w:hAnsi="Arial" w:cs="Arial"/>
          <w:color w:val="000000"/>
          <w:sz w:val="20"/>
          <w:szCs w:val="20"/>
        </w:rPr>
        <w:t xml:space="preserve"> nezbyt</w:t>
      </w:r>
      <w:r w:rsidR="00FB468A" w:rsidRPr="008719F7">
        <w:rPr>
          <w:rFonts w:ascii="Arial" w:eastAsia="Calibri" w:hAnsi="Arial" w:cs="Arial"/>
          <w:color w:val="000000"/>
          <w:sz w:val="20"/>
          <w:szCs w:val="20"/>
        </w:rPr>
        <w:t>n</w:t>
      </w:r>
      <w:r w:rsidR="00A95A99" w:rsidRPr="008719F7">
        <w:rPr>
          <w:rFonts w:ascii="Arial" w:eastAsia="Calibri" w:hAnsi="Arial" w:cs="Arial"/>
          <w:color w:val="000000"/>
          <w:sz w:val="20"/>
          <w:szCs w:val="20"/>
        </w:rPr>
        <w:t>ou</w:t>
      </w:r>
      <w:r w:rsidR="008F1C8B" w:rsidRPr="008719F7">
        <w:rPr>
          <w:rFonts w:ascii="Arial" w:eastAsia="Calibri" w:hAnsi="Arial" w:cs="Arial"/>
          <w:color w:val="000000"/>
          <w:sz w:val="20"/>
          <w:szCs w:val="20"/>
        </w:rPr>
        <w:t xml:space="preserve"> k průběžnému monitorování a</w:t>
      </w:r>
      <w:r w:rsidR="00C94482" w:rsidRPr="008719F7">
        <w:rPr>
          <w:rFonts w:ascii="Arial" w:eastAsia="Calibri" w:hAnsi="Arial" w:cs="Arial"/>
          <w:color w:val="000000"/>
          <w:sz w:val="20"/>
          <w:szCs w:val="20"/>
        </w:rPr>
        <w:t> </w:t>
      </w:r>
      <w:r w:rsidR="008F1C8B" w:rsidRPr="008719F7">
        <w:rPr>
          <w:rFonts w:ascii="Arial" w:eastAsia="Calibri" w:hAnsi="Arial" w:cs="Arial"/>
          <w:color w:val="000000"/>
          <w:sz w:val="20"/>
          <w:szCs w:val="20"/>
        </w:rPr>
        <w:t xml:space="preserve">vyúčtování dotace </w:t>
      </w:r>
      <w:r w:rsidRPr="008719F7">
        <w:rPr>
          <w:rFonts w:ascii="Arial" w:eastAsia="Calibri" w:hAnsi="Arial" w:cs="Arial"/>
          <w:color w:val="000000"/>
          <w:sz w:val="20"/>
          <w:szCs w:val="20"/>
        </w:rPr>
        <w:t xml:space="preserve">ve stanoveném termínu (dle části II., bod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.1 tohoto Rozhodnutí) a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 xml:space="preserve"> nebud</w:t>
      </w:r>
      <w:r w:rsidR="00A95A99" w:rsidRPr="008719F7">
        <w:rPr>
          <w:rFonts w:ascii="Arial" w:eastAsia="Calibri" w:hAnsi="Arial" w:cs="Arial"/>
          <w:color w:val="000000"/>
          <w:sz w:val="20"/>
          <w:szCs w:val="20"/>
        </w:rPr>
        <w:t>e</w:t>
      </w:r>
      <w:r w:rsidRPr="008719F7">
        <w:rPr>
          <w:rFonts w:ascii="Arial" w:eastAsia="Calibri" w:hAnsi="Arial" w:cs="Arial"/>
          <w:color w:val="000000"/>
          <w:sz w:val="20"/>
          <w:szCs w:val="20"/>
        </w:rPr>
        <w:t xml:space="preserve"> předložen</w:t>
      </w:r>
      <w:r w:rsidR="00A95A99" w:rsidRPr="008719F7">
        <w:rPr>
          <w:rFonts w:ascii="Arial" w:eastAsia="Calibri" w:hAnsi="Arial" w:cs="Arial"/>
          <w:color w:val="000000"/>
          <w:sz w:val="20"/>
          <w:szCs w:val="20"/>
        </w:rPr>
        <w:t>a</w:t>
      </w:r>
      <w:r w:rsidRPr="008719F7">
        <w:rPr>
          <w:rFonts w:ascii="Arial" w:eastAsia="Calibri" w:hAnsi="Arial" w:cs="Arial"/>
          <w:color w:val="000000"/>
          <w:sz w:val="20"/>
          <w:szCs w:val="20"/>
        </w:rPr>
        <w:t xml:space="preserve"> ani do data stanoveného písemnou výzvou Poskytovatele dotace k předložení požadovan</w:t>
      </w:r>
      <w:r w:rsidR="00A95A99" w:rsidRPr="008719F7">
        <w:rPr>
          <w:rFonts w:ascii="Arial" w:eastAsia="Calibri" w:hAnsi="Arial" w:cs="Arial"/>
          <w:color w:val="000000"/>
          <w:sz w:val="20"/>
          <w:szCs w:val="20"/>
        </w:rPr>
        <w:t>é</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w:t>
      </w:r>
    </w:p>
    <w:p w14:paraId="6DFB8E5B" w14:textId="09157BD0" w:rsidR="009974F4" w:rsidRPr="008719F7" w:rsidRDefault="009974F4" w:rsidP="00BD54B3">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provést nápravu nedostatků týkajících se dokument</w:t>
      </w:r>
      <w:r w:rsidR="0070154B" w:rsidRPr="008719F7">
        <w:rPr>
          <w:rFonts w:ascii="Arial" w:eastAsia="Calibri" w:hAnsi="Arial" w:cs="Arial"/>
          <w:color w:val="000000"/>
          <w:sz w:val="20"/>
          <w:szCs w:val="20"/>
        </w:rPr>
        <w:t>ace předkládané</w:t>
      </w:r>
      <w:r w:rsidRPr="008719F7">
        <w:rPr>
          <w:rFonts w:ascii="Arial" w:eastAsia="Calibri" w:hAnsi="Arial" w:cs="Arial"/>
          <w:color w:val="000000"/>
          <w:sz w:val="20"/>
          <w:szCs w:val="20"/>
        </w:rPr>
        <w:t xml:space="preserve"> za jednotlivá monitorovací období (dle části II., bod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 xml:space="preserve">2 tohoto Rozhodnutí) a </w:t>
      </w:r>
      <w:r w:rsidRPr="008719F7">
        <w:rPr>
          <w:rFonts w:ascii="Arial" w:eastAsia="Calibri" w:hAnsi="Arial" w:cs="Arial"/>
          <w:color w:val="000000"/>
          <w:sz w:val="20"/>
          <w:szCs w:val="20"/>
        </w:rPr>
        <w:lastRenderedPageBreak/>
        <w:t>opraven</w:t>
      </w:r>
      <w:r w:rsidR="00A95A99" w:rsidRPr="008719F7">
        <w:rPr>
          <w:rFonts w:ascii="Arial" w:eastAsia="Calibri" w:hAnsi="Arial" w:cs="Arial"/>
          <w:color w:val="000000"/>
          <w:sz w:val="20"/>
          <w:szCs w:val="20"/>
        </w:rPr>
        <w:t>á</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 xml:space="preserve"> nebud</w:t>
      </w:r>
      <w:r w:rsidR="00A95A99" w:rsidRPr="008719F7">
        <w:rPr>
          <w:rFonts w:ascii="Arial" w:eastAsia="Calibri" w:hAnsi="Arial" w:cs="Arial"/>
          <w:color w:val="000000"/>
          <w:sz w:val="20"/>
          <w:szCs w:val="20"/>
        </w:rPr>
        <w:t>e</w:t>
      </w:r>
      <w:r w:rsidRPr="008719F7">
        <w:rPr>
          <w:rFonts w:ascii="Arial" w:eastAsia="Calibri" w:hAnsi="Arial" w:cs="Arial"/>
          <w:color w:val="000000"/>
          <w:sz w:val="20"/>
          <w:szCs w:val="20"/>
        </w:rPr>
        <w:t xml:space="preserve"> předložen</w:t>
      </w:r>
      <w:r w:rsidR="00A95A99" w:rsidRPr="008719F7">
        <w:rPr>
          <w:rFonts w:ascii="Arial" w:eastAsia="Calibri" w:hAnsi="Arial" w:cs="Arial"/>
          <w:color w:val="000000"/>
          <w:sz w:val="20"/>
          <w:szCs w:val="20"/>
        </w:rPr>
        <w:t>a</w:t>
      </w:r>
      <w:r w:rsidRPr="008719F7">
        <w:rPr>
          <w:rFonts w:ascii="Arial" w:eastAsia="Calibri" w:hAnsi="Arial" w:cs="Arial"/>
          <w:color w:val="000000"/>
          <w:sz w:val="20"/>
          <w:szCs w:val="20"/>
        </w:rPr>
        <w:t xml:space="preserve"> ani do data stanoveného opakovanou písemnou výzvou Poskytovatele dotace k předložení požadovan</w:t>
      </w:r>
      <w:r w:rsidR="00A95A99" w:rsidRPr="008719F7">
        <w:rPr>
          <w:rFonts w:ascii="Arial" w:eastAsia="Calibri" w:hAnsi="Arial" w:cs="Arial"/>
          <w:color w:val="000000"/>
          <w:sz w:val="20"/>
          <w:szCs w:val="20"/>
        </w:rPr>
        <w:t>é</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w:t>
      </w:r>
    </w:p>
    <w:p w14:paraId="6C45F166" w14:textId="65515287" w:rsidR="009974F4" w:rsidRPr="008719F7" w:rsidRDefault="009974F4" w:rsidP="00BD54B3">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k porušení povinnosti oznámení skutečností majících vliv na povahu nebo podmínky účelu dotace, nebo změn (dle části II., bod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w:t>
      </w:r>
      <w:r w:rsidR="00790599" w:rsidRPr="008719F7">
        <w:rPr>
          <w:rFonts w:ascii="Arial" w:eastAsia="Calibri" w:hAnsi="Arial" w:cs="Arial"/>
          <w:color w:val="000000"/>
          <w:sz w:val="20"/>
          <w:szCs w:val="20"/>
        </w:rPr>
        <w:t>3</w:t>
      </w:r>
      <w:r w:rsidRPr="008719F7">
        <w:rPr>
          <w:rFonts w:ascii="Arial" w:eastAsia="Calibri" w:hAnsi="Arial" w:cs="Arial"/>
          <w:color w:val="000000"/>
          <w:sz w:val="20"/>
          <w:szCs w:val="20"/>
        </w:rPr>
        <w:t xml:space="preserve"> tohoto Rozhodnutí) a tato neoznámená skutečnost/změna bude mít prokazatelný vliv na plnění účelu dotace; </w:t>
      </w:r>
    </w:p>
    <w:p w14:paraId="6825F942" w14:textId="77777777" w:rsidR="00E56845" w:rsidRPr="008719F7" w:rsidRDefault="009974F4" w:rsidP="00E56845">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poskytnutí jakékoliv doplňující informace (dle části II., bod</w:t>
      </w:r>
      <w:r w:rsidR="00A77060" w:rsidRPr="008719F7">
        <w:rPr>
          <w:rFonts w:ascii="Arial" w:eastAsia="Calibri" w:hAnsi="Arial" w:cs="Arial"/>
          <w:color w:val="000000"/>
          <w:sz w:val="20"/>
          <w:szCs w:val="20"/>
        </w:rPr>
        <w:t>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w:t>
      </w:r>
      <w:r w:rsidR="00790599" w:rsidRPr="008719F7">
        <w:rPr>
          <w:rFonts w:ascii="Arial" w:eastAsia="Calibri" w:hAnsi="Arial" w:cs="Arial"/>
          <w:color w:val="000000"/>
          <w:sz w:val="20"/>
          <w:szCs w:val="20"/>
        </w:rPr>
        <w:t>4</w:t>
      </w:r>
      <w:r w:rsidRPr="008719F7">
        <w:rPr>
          <w:rFonts w:ascii="Arial" w:eastAsia="Calibri" w:hAnsi="Arial" w:cs="Arial"/>
          <w:color w:val="000000"/>
          <w:sz w:val="20"/>
          <w:szCs w:val="20"/>
        </w:rPr>
        <w:t xml:space="preserve"> tohoto Rozhodnutí) a informace nebudou poskytnuty ani do data stanoveného opakovanou písemnou výzvou Poskytovatele dotace k poskytnutí; </w:t>
      </w:r>
    </w:p>
    <w:p w14:paraId="56C83355" w14:textId="77777777" w:rsidR="005F1789" w:rsidRPr="008719F7" w:rsidRDefault="00E56845" w:rsidP="005F1789">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k porušení povinností týkajících se oznamovací povinnosti ohledně zahájeného insolvenčního řízení </w:t>
      </w:r>
      <w:r w:rsidR="00B1386A" w:rsidRPr="008719F7">
        <w:rPr>
          <w:rFonts w:ascii="Arial" w:eastAsia="Calibri" w:hAnsi="Arial" w:cs="Arial"/>
          <w:color w:val="000000"/>
          <w:sz w:val="20"/>
          <w:szCs w:val="20"/>
        </w:rPr>
        <w:t>nebo</w:t>
      </w:r>
      <w:r w:rsidRPr="008719F7">
        <w:rPr>
          <w:rFonts w:ascii="Arial" w:eastAsia="Calibri" w:hAnsi="Arial" w:cs="Arial"/>
          <w:color w:val="000000"/>
          <w:sz w:val="20"/>
          <w:szCs w:val="20"/>
        </w:rPr>
        <w:t xml:space="preserve"> ohledně vstupu Příjemce do likvidace (</w:t>
      </w:r>
      <w:r w:rsidR="00B1386A" w:rsidRPr="008719F7">
        <w:rPr>
          <w:rFonts w:ascii="Arial" w:eastAsia="Calibri" w:hAnsi="Arial" w:cs="Arial"/>
          <w:color w:val="000000"/>
          <w:sz w:val="20"/>
          <w:szCs w:val="20"/>
        </w:rPr>
        <w:t>dle</w:t>
      </w:r>
      <w:r w:rsidRPr="008719F7">
        <w:rPr>
          <w:rFonts w:ascii="Arial" w:eastAsia="Calibri" w:hAnsi="Arial" w:cs="Arial"/>
          <w:color w:val="000000"/>
          <w:sz w:val="20"/>
          <w:szCs w:val="20"/>
        </w:rPr>
        <w:t xml:space="preserve"> části II.</w:t>
      </w:r>
      <w:r w:rsidR="00B1386A"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bodu 4.5 tohoto Rozhodnutí);</w:t>
      </w:r>
    </w:p>
    <w:p w14:paraId="5E0E993D" w14:textId="7FD11952" w:rsidR="00D93DC5" w:rsidRPr="008719F7" w:rsidRDefault="00D93DC5" w:rsidP="00F377BE">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předat účetní záznamy nebo další doklady (dle části II., bod 5.2 tohoto Rozhodnutí), a tyto účetní záznamy nebo další doklady nebudou předloženy ani do data stanoveného opakovanou písemnou výzvou Poskytovatele dotace;</w:t>
      </w:r>
    </w:p>
    <w:p w14:paraId="1813C174" w14:textId="5FE0938C" w:rsidR="009974F4" w:rsidRPr="008719F7" w:rsidRDefault="009974F4" w:rsidP="00BD54B3">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povinností týkajících se vytvoření podmínek pro provedení kontroly/audi</w:t>
      </w:r>
      <w:r w:rsidR="0056317C" w:rsidRPr="008719F7">
        <w:rPr>
          <w:rFonts w:ascii="Arial" w:eastAsia="Calibri" w:hAnsi="Arial" w:cs="Arial"/>
          <w:color w:val="000000"/>
          <w:sz w:val="20"/>
          <w:szCs w:val="20"/>
        </w:rPr>
        <w:t>tu</w:t>
      </w:r>
      <w:r w:rsidR="00B1386A" w:rsidRPr="008719F7">
        <w:rPr>
          <w:rFonts w:ascii="Arial" w:eastAsia="Calibri" w:hAnsi="Arial" w:cs="Arial"/>
          <w:color w:val="000000"/>
          <w:sz w:val="20"/>
          <w:szCs w:val="20"/>
        </w:rPr>
        <w:t xml:space="preserve"> nebo monitorovací návštěvy</w:t>
      </w:r>
      <w:r w:rsidR="0056317C" w:rsidRPr="008719F7">
        <w:rPr>
          <w:rFonts w:ascii="Arial" w:eastAsia="Calibri" w:hAnsi="Arial" w:cs="Arial"/>
          <w:color w:val="000000"/>
          <w:sz w:val="20"/>
          <w:szCs w:val="20"/>
        </w:rPr>
        <w:t xml:space="preserve"> (</w:t>
      </w:r>
      <w:r w:rsidR="00B1386A" w:rsidRPr="008719F7">
        <w:rPr>
          <w:rFonts w:ascii="Arial" w:eastAsia="Calibri" w:hAnsi="Arial" w:cs="Arial"/>
          <w:color w:val="000000"/>
          <w:sz w:val="20"/>
          <w:szCs w:val="20"/>
        </w:rPr>
        <w:t xml:space="preserve">dle </w:t>
      </w:r>
      <w:r w:rsidR="0056317C" w:rsidRPr="008719F7">
        <w:rPr>
          <w:rFonts w:ascii="Arial" w:eastAsia="Calibri" w:hAnsi="Arial" w:cs="Arial"/>
          <w:color w:val="000000"/>
          <w:sz w:val="20"/>
          <w:szCs w:val="20"/>
        </w:rPr>
        <w:t xml:space="preserve">části II., bod </w:t>
      </w:r>
      <w:r w:rsidR="00787450" w:rsidRPr="008719F7">
        <w:rPr>
          <w:rFonts w:ascii="Arial" w:eastAsia="Calibri" w:hAnsi="Arial" w:cs="Arial"/>
          <w:color w:val="000000"/>
          <w:sz w:val="20"/>
          <w:szCs w:val="20"/>
        </w:rPr>
        <w:t>6</w:t>
      </w:r>
      <w:r w:rsidRPr="008719F7">
        <w:rPr>
          <w:rFonts w:ascii="Arial" w:eastAsia="Calibri" w:hAnsi="Arial" w:cs="Arial"/>
          <w:color w:val="000000"/>
          <w:sz w:val="20"/>
          <w:szCs w:val="20"/>
        </w:rPr>
        <w:t xml:space="preserve">. tohoto Rozhodnutí); </w:t>
      </w:r>
    </w:p>
    <w:p w14:paraId="2E48C1D7" w14:textId="77777777" w:rsidR="00787450" w:rsidRPr="008719F7" w:rsidRDefault="009974F4" w:rsidP="00787450">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k porušení povinnosti uchovávat dokumenty (uvedené v části II., bod </w:t>
      </w:r>
      <w:r w:rsidR="00787450" w:rsidRPr="008719F7">
        <w:rPr>
          <w:rFonts w:ascii="Arial" w:eastAsia="Calibri" w:hAnsi="Arial" w:cs="Arial"/>
          <w:color w:val="000000"/>
          <w:sz w:val="20"/>
          <w:szCs w:val="20"/>
        </w:rPr>
        <w:t>8</w:t>
      </w:r>
      <w:r w:rsidRPr="008719F7">
        <w:rPr>
          <w:rFonts w:ascii="Arial" w:eastAsia="Calibri" w:hAnsi="Arial" w:cs="Arial"/>
          <w:color w:val="000000"/>
          <w:sz w:val="20"/>
          <w:szCs w:val="20"/>
        </w:rPr>
        <w:t xml:space="preserve">. tohoto Rozhodnutí) a není možné stanovit výši dotace, ke které se dokument váže; </w:t>
      </w:r>
    </w:p>
    <w:p w14:paraId="3ECAF213" w14:textId="4BECC986" w:rsidR="00787450" w:rsidRPr="008719F7" w:rsidRDefault="00787450" w:rsidP="00787450">
      <w:pPr>
        <w:numPr>
          <w:ilvl w:val="0"/>
          <w:numId w:val="1"/>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týkající se práv duševního vlastnictví (</w:t>
      </w:r>
      <w:r w:rsidR="00B1386A" w:rsidRPr="008719F7">
        <w:rPr>
          <w:rFonts w:ascii="Arial" w:eastAsia="Calibri" w:hAnsi="Arial" w:cs="Arial"/>
          <w:color w:val="000000"/>
          <w:sz w:val="20"/>
          <w:szCs w:val="20"/>
        </w:rPr>
        <w:t>dle</w:t>
      </w:r>
      <w:r w:rsidRPr="008719F7">
        <w:rPr>
          <w:rFonts w:ascii="Arial" w:eastAsia="Calibri" w:hAnsi="Arial" w:cs="Arial"/>
          <w:color w:val="000000"/>
          <w:sz w:val="20"/>
          <w:szCs w:val="20"/>
        </w:rPr>
        <w:t xml:space="preserve"> části II., bod 10. tohoto Rozhodnutí);</w:t>
      </w:r>
    </w:p>
    <w:p w14:paraId="524A2459" w14:textId="77777777" w:rsidR="00E56845" w:rsidRPr="008719F7" w:rsidRDefault="00E56845" w:rsidP="00E56845">
      <w:p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bude odvod za porušení rozpočtové kázně vyměřen dle § 44a odst. 4 písm. a) Rozpočtových pravidel ve výši 0,5 % z celkové částky dotace. Odvod za porušení rozpočtové kázně přitom nemůže být vyšší než celková částka dotace, která byla vyplacena.</w:t>
      </w:r>
    </w:p>
    <w:p w14:paraId="2E691831" w14:textId="57B38A06" w:rsidR="00787450" w:rsidRPr="008719F7" w:rsidRDefault="00787450" w:rsidP="00B965B0">
      <w:pPr>
        <w:pBdr>
          <w:top w:val="nil"/>
          <w:left w:val="nil"/>
          <w:bottom w:val="nil"/>
          <w:right w:val="nil"/>
          <w:between w:val="nil"/>
        </w:pBdr>
        <w:spacing w:after="120" w:line="276" w:lineRule="auto"/>
        <w:ind w:left="720"/>
        <w:rPr>
          <w:rFonts w:ascii="Arial" w:eastAsia="Calibri" w:hAnsi="Arial" w:cs="Arial"/>
          <w:color w:val="000000"/>
          <w:sz w:val="20"/>
          <w:szCs w:val="20"/>
        </w:rPr>
      </w:pPr>
    </w:p>
    <w:p w14:paraId="7FB332D5" w14:textId="7884D0DF" w:rsidR="001F52F7" w:rsidRPr="008719F7" w:rsidRDefault="001F52F7" w:rsidP="00995E23">
      <w:pPr>
        <w:numPr>
          <w:ilvl w:val="1"/>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V případě, že</w:t>
      </w:r>
      <w:r w:rsidR="00E244B5" w:rsidRPr="008719F7">
        <w:rPr>
          <w:rFonts w:ascii="Arial" w:eastAsia="Calibri" w:hAnsi="Arial" w:cs="Arial"/>
          <w:color w:val="000000"/>
          <w:sz w:val="20"/>
          <w:szCs w:val="20"/>
        </w:rPr>
        <w:t xml:space="preserve"> d</w:t>
      </w:r>
      <w:r w:rsidRPr="008719F7">
        <w:rPr>
          <w:rFonts w:ascii="Arial" w:eastAsia="Calibri" w:hAnsi="Arial" w:cs="Arial"/>
          <w:color w:val="000000"/>
          <w:sz w:val="20"/>
          <w:szCs w:val="20"/>
        </w:rPr>
        <w:t>ojde k porušení povinností týkajících se provádění informačních a</w:t>
      </w:r>
      <w:r w:rsidR="00E244B5" w:rsidRPr="008719F7">
        <w:rPr>
          <w:rFonts w:ascii="Arial" w:eastAsia="Calibri" w:hAnsi="Arial" w:cs="Arial"/>
          <w:color w:val="000000"/>
          <w:sz w:val="20"/>
          <w:szCs w:val="20"/>
        </w:rPr>
        <w:t> </w:t>
      </w:r>
      <w:r w:rsidRPr="008719F7">
        <w:rPr>
          <w:rFonts w:ascii="Arial" w:eastAsia="Calibri" w:hAnsi="Arial" w:cs="Arial"/>
          <w:color w:val="000000"/>
          <w:sz w:val="20"/>
          <w:szCs w:val="20"/>
        </w:rPr>
        <w:t>komunikačních opatření (</w:t>
      </w:r>
      <w:r w:rsidR="00B1386A" w:rsidRPr="008719F7">
        <w:rPr>
          <w:rFonts w:ascii="Arial" w:eastAsia="Calibri" w:hAnsi="Arial" w:cs="Arial"/>
          <w:color w:val="000000"/>
          <w:sz w:val="20"/>
          <w:szCs w:val="20"/>
        </w:rPr>
        <w:t>dle</w:t>
      </w:r>
      <w:r w:rsidRPr="008719F7">
        <w:rPr>
          <w:rFonts w:ascii="Arial" w:eastAsia="Calibri" w:hAnsi="Arial" w:cs="Arial"/>
          <w:color w:val="000000"/>
          <w:sz w:val="20"/>
          <w:szCs w:val="20"/>
        </w:rPr>
        <w:t xml:space="preserve"> části II., bod</w:t>
      </w:r>
      <w:r w:rsidR="00E244B5" w:rsidRPr="008719F7">
        <w:rPr>
          <w:rFonts w:ascii="Arial" w:eastAsia="Calibri" w:hAnsi="Arial" w:cs="Arial"/>
          <w:color w:val="000000"/>
          <w:sz w:val="20"/>
          <w:szCs w:val="20"/>
        </w:rPr>
        <w:t>y</w:t>
      </w:r>
      <w:r w:rsidRPr="008719F7">
        <w:rPr>
          <w:rFonts w:ascii="Arial" w:eastAsia="Calibri" w:hAnsi="Arial" w:cs="Arial"/>
          <w:color w:val="000000"/>
          <w:sz w:val="20"/>
          <w:szCs w:val="20"/>
        </w:rPr>
        <w:t xml:space="preserve"> </w:t>
      </w:r>
      <w:r w:rsidR="00E244B5" w:rsidRPr="008719F7">
        <w:rPr>
          <w:rFonts w:ascii="Arial" w:eastAsia="Calibri" w:hAnsi="Arial" w:cs="Arial"/>
          <w:color w:val="000000"/>
          <w:sz w:val="20"/>
          <w:szCs w:val="20"/>
        </w:rPr>
        <w:t>9</w:t>
      </w:r>
      <w:r w:rsidRPr="008719F7">
        <w:rPr>
          <w:rFonts w:ascii="Arial" w:eastAsia="Calibri" w:hAnsi="Arial" w:cs="Arial"/>
          <w:color w:val="000000"/>
          <w:sz w:val="20"/>
          <w:szCs w:val="20"/>
        </w:rPr>
        <w:t>.1</w:t>
      </w:r>
      <w:r w:rsidR="00E244B5" w:rsidRPr="008719F7">
        <w:rPr>
          <w:rFonts w:ascii="Arial" w:eastAsia="Calibri" w:hAnsi="Arial" w:cs="Arial"/>
          <w:color w:val="000000"/>
          <w:sz w:val="20"/>
          <w:szCs w:val="20"/>
        </w:rPr>
        <w:t xml:space="preserve"> a 9.2</w:t>
      </w:r>
      <w:r w:rsidRPr="008719F7">
        <w:rPr>
          <w:rFonts w:ascii="Arial" w:eastAsia="Calibri" w:hAnsi="Arial" w:cs="Arial"/>
          <w:color w:val="000000"/>
          <w:sz w:val="20"/>
          <w:szCs w:val="20"/>
        </w:rPr>
        <w:t xml:space="preserve"> tohoto Rozhodnutí) a</w:t>
      </w:r>
      <w:r w:rsidR="00E244B5" w:rsidRPr="008719F7">
        <w:rPr>
          <w:rFonts w:ascii="Arial" w:eastAsia="Calibri" w:hAnsi="Arial" w:cs="Arial"/>
          <w:color w:val="000000"/>
          <w:sz w:val="20"/>
          <w:szCs w:val="20"/>
        </w:rPr>
        <w:t> </w:t>
      </w:r>
      <w:r w:rsidRPr="008719F7">
        <w:rPr>
          <w:rFonts w:ascii="Arial" w:eastAsia="Calibri" w:hAnsi="Arial" w:cs="Arial"/>
          <w:color w:val="000000"/>
          <w:sz w:val="20"/>
          <w:szCs w:val="20"/>
        </w:rPr>
        <w:t>k nápravě nedojde ani na základě písemné výzvy Poskytovatele dotace (</w:t>
      </w:r>
      <w:r w:rsidR="00B1386A" w:rsidRPr="008719F7">
        <w:rPr>
          <w:rFonts w:ascii="Arial" w:eastAsia="Calibri" w:hAnsi="Arial" w:cs="Arial"/>
          <w:color w:val="000000"/>
          <w:sz w:val="20"/>
          <w:szCs w:val="20"/>
        </w:rPr>
        <w:t>dle</w:t>
      </w:r>
      <w:r w:rsidR="00E244B5" w:rsidRPr="008719F7">
        <w:rPr>
          <w:rFonts w:ascii="Arial" w:eastAsia="Calibri" w:hAnsi="Arial" w:cs="Arial"/>
          <w:color w:val="000000"/>
          <w:sz w:val="20"/>
          <w:szCs w:val="20"/>
        </w:rPr>
        <w:t> </w:t>
      </w:r>
      <w:r w:rsidRPr="008719F7">
        <w:rPr>
          <w:rFonts w:ascii="Arial" w:eastAsia="Calibri" w:hAnsi="Arial" w:cs="Arial"/>
          <w:color w:val="000000"/>
          <w:sz w:val="20"/>
          <w:szCs w:val="20"/>
        </w:rPr>
        <w:t xml:space="preserve">části II., bod </w:t>
      </w:r>
      <w:r w:rsidR="00E244B5" w:rsidRPr="008719F7">
        <w:rPr>
          <w:rFonts w:ascii="Arial" w:eastAsia="Calibri" w:hAnsi="Arial" w:cs="Arial"/>
          <w:color w:val="000000"/>
          <w:sz w:val="20"/>
          <w:szCs w:val="20"/>
        </w:rPr>
        <w:t>9</w:t>
      </w:r>
      <w:r w:rsidRPr="008719F7">
        <w:rPr>
          <w:rFonts w:ascii="Arial" w:eastAsia="Calibri" w:hAnsi="Arial" w:cs="Arial"/>
          <w:color w:val="000000"/>
          <w:sz w:val="20"/>
          <w:szCs w:val="20"/>
        </w:rPr>
        <w:t>.</w:t>
      </w:r>
      <w:r w:rsidR="00E244B5" w:rsidRPr="008719F7">
        <w:rPr>
          <w:rFonts w:ascii="Arial" w:eastAsia="Calibri" w:hAnsi="Arial" w:cs="Arial"/>
          <w:color w:val="000000"/>
          <w:sz w:val="20"/>
          <w:szCs w:val="20"/>
        </w:rPr>
        <w:t>3</w:t>
      </w:r>
      <w:r w:rsidRPr="008719F7">
        <w:rPr>
          <w:rFonts w:ascii="Arial" w:eastAsia="Calibri" w:hAnsi="Arial" w:cs="Arial"/>
          <w:color w:val="000000"/>
          <w:sz w:val="20"/>
          <w:szCs w:val="20"/>
        </w:rPr>
        <w:t xml:space="preserve"> tohoto Rozhodnutí)</w:t>
      </w:r>
      <w:r w:rsidR="00E244B5" w:rsidRPr="008719F7">
        <w:rPr>
          <w:rFonts w:ascii="Arial" w:eastAsia="Calibri" w:hAnsi="Arial" w:cs="Arial"/>
          <w:color w:val="000000"/>
          <w:sz w:val="20"/>
          <w:szCs w:val="20"/>
        </w:rPr>
        <w:t xml:space="preserve"> </w:t>
      </w:r>
      <w:r w:rsidRPr="008719F7">
        <w:rPr>
          <w:rFonts w:ascii="Arial" w:eastAsia="Calibri" w:hAnsi="Arial" w:cs="Arial"/>
          <w:color w:val="000000"/>
          <w:sz w:val="20"/>
          <w:szCs w:val="20"/>
        </w:rPr>
        <w:t>bude odvod za porušení rozpočtové kázně vyměřen dle § 44a odst. 4 písm. a) Rozpočtových pravidel ve výši 0,1 % z celkové částky dotace, a to za každé jednotlivé porušení. Odvod za porušení rozpočtové kázně přitom nemůže být vyšší než celková částka dotace, která byla vyplacena.</w:t>
      </w:r>
    </w:p>
    <w:p w14:paraId="0793274A" w14:textId="01E1D7F9" w:rsidR="00E74F69" w:rsidRDefault="00E74F69" w:rsidP="000E1975">
      <w:pPr>
        <w:pBdr>
          <w:top w:val="nil"/>
          <w:left w:val="nil"/>
          <w:bottom w:val="nil"/>
          <w:right w:val="nil"/>
          <w:between w:val="nil"/>
        </w:pBdr>
        <w:spacing w:after="120" w:line="276" w:lineRule="auto"/>
        <w:rPr>
          <w:rFonts w:ascii="Arial" w:eastAsia="Calibri" w:hAnsi="Arial" w:cs="Arial"/>
          <w:color w:val="000000"/>
          <w:sz w:val="20"/>
          <w:szCs w:val="20"/>
        </w:rPr>
      </w:pPr>
    </w:p>
    <w:p w14:paraId="50272A19" w14:textId="77777777" w:rsidR="0029477E" w:rsidRPr="008719F7" w:rsidRDefault="0029477E" w:rsidP="000E1975">
      <w:pPr>
        <w:pBdr>
          <w:top w:val="nil"/>
          <w:left w:val="nil"/>
          <w:bottom w:val="nil"/>
          <w:right w:val="nil"/>
          <w:between w:val="nil"/>
        </w:pBdr>
        <w:spacing w:after="120" w:line="276" w:lineRule="auto"/>
        <w:rPr>
          <w:rFonts w:ascii="Arial" w:eastAsia="Calibri" w:hAnsi="Arial" w:cs="Arial"/>
          <w:color w:val="000000"/>
          <w:sz w:val="20"/>
          <w:szCs w:val="20"/>
        </w:rPr>
      </w:pPr>
    </w:p>
    <w:p w14:paraId="2D47ACD5" w14:textId="77777777" w:rsidR="00E74F69" w:rsidRPr="008719F7" w:rsidRDefault="00E74F69" w:rsidP="005B15C0">
      <w:pPr>
        <w:pBdr>
          <w:top w:val="nil"/>
          <w:left w:val="nil"/>
          <w:bottom w:val="nil"/>
          <w:right w:val="nil"/>
          <w:between w:val="nil"/>
        </w:pBdr>
        <w:spacing w:after="120" w:line="276" w:lineRule="auto"/>
        <w:ind w:hanging="11"/>
        <w:rPr>
          <w:rFonts w:ascii="Arial" w:eastAsia="Calibri" w:hAnsi="Arial" w:cs="Arial"/>
          <w:color w:val="000000"/>
          <w:sz w:val="20"/>
          <w:szCs w:val="20"/>
        </w:rPr>
      </w:pPr>
    </w:p>
    <w:p w14:paraId="44B123FB" w14:textId="58632104" w:rsidR="009974F4" w:rsidRPr="008719F7" w:rsidRDefault="009974F4" w:rsidP="00995E23">
      <w:pPr>
        <w:keepNext/>
        <w:numPr>
          <w:ilvl w:val="0"/>
          <w:numId w:val="5"/>
        </w:numPr>
        <w:pBdr>
          <w:top w:val="nil"/>
          <w:left w:val="nil"/>
          <w:bottom w:val="nil"/>
          <w:right w:val="nil"/>
          <w:between w:val="nil"/>
        </w:pBdr>
        <w:spacing w:after="120" w:line="276" w:lineRule="auto"/>
        <w:ind w:left="720" w:hanging="720"/>
        <w:rPr>
          <w:rFonts w:ascii="Arial" w:eastAsia="Calibri" w:hAnsi="Arial" w:cs="Arial"/>
          <w:color w:val="000000"/>
          <w:sz w:val="20"/>
          <w:szCs w:val="20"/>
        </w:rPr>
      </w:pPr>
      <w:bookmarkStart w:id="11" w:name="_Ref29794117"/>
      <w:r w:rsidRPr="008719F7">
        <w:rPr>
          <w:rFonts w:ascii="Arial" w:eastAsia="Calibri" w:hAnsi="Arial" w:cs="Arial"/>
          <w:b/>
          <w:color w:val="000000"/>
          <w:sz w:val="20"/>
          <w:szCs w:val="20"/>
        </w:rPr>
        <w:t>Porušení povinností, jež</w:t>
      </w:r>
      <w:r w:rsidR="00E41919" w:rsidRPr="008719F7">
        <w:rPr>
          <w:rFonts w:ascii="Arial" w:eastAsia="Calibri" w:hAnsi="Arial" w:cs="Arial"/>
          <w:b/>
          <w:color w:val="000000"/>
          <w:sz w:val="20"/>
          <w:szCs w:val="20"/>
        </w:rPr>
        <w:t xml:space="preserve"> </w:t>
      </w:r>
      <w:r w:rsidRPr="008719F7">
        <w:rPr>
          <w:rFonts w:ascii="Arial" w:eastAsia="Calibri" w:hAnsi="Arial" w:cs="Arial"/>
          <w:b/>
          <w:color w:val="000000"/>
          <w:sz w:val="20"/>
          <w:szCs w:val="20"/>
        </w:rPr>
        <w:t>není porušením rozpočtové kázně</w:t>
      </w:r>
      <w:bookmarkEnd w:id="11"/>
    </w:p>
    <w:p w14:paraId="5ABE2D46" w14:textId="77777777" w:rsidR="009974F4" w:rsidRPr="008719F7" w:rsidRDefault="009974F4" w:rsidP="00BD54B3">
      <w:pPr>
        <w:spacing w:after="120" w:line="276" w:lineRule="auto"/>
        <w:ind w:left="720" w:hanging="720"/>
        <w:contextualSpacing/>
        <w:rPr>
          <w:rFonts w:ascii="Arial" w:eastAsia="Calibri" w:hAnsi="Arial" w:cs="Arial"/>
          <w:sz w:val="20"/>
          <w:szCs w:val="20"/>
        </w:rPr>
      </w:pPr>
      <w:r w:rsidRPr="008719F7">
        <w:rPr>
          <w:rFonts w:ascii="Arial" w:eastAsia="Calibri" w:hAnsi="Arial" w:cs="Arial"/>
          <w:sz w:val="20"/>
          <w:szCs w:val="20"/>
        </w:rPr>
        <w:t xml:space="preserve">V případě, že: </w:t>
      </w:r>
    </w:p>
    <w:p w14:paraId="5763CD70" w14:textId="2FF2E9CA" w:rsidR="00787450" w:rsidRPr="008719F7" w:rsidRDefault="00787450"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při použití dotace k porušení dodržování podmínek stanovených v Pravidlech (dle části II. bod 1. </w:t>
      </w:r>
      <w:r w:rsidR="00E244B5" w:rsidRPr="008719F7">
        <w:rPr>
          <w:rFonts w:ascii="Arial" w:eastAsia="Calibri" w:hAnsi="Arial" w:cs="Arial"/>
          <w:color w:val="000000"/>
          <w:sz w:val="20"/>
          <w:szCs w:val="20"/>
        </w:rPr>
        <w:t xml:space="preserve">tohoto Rozhodnutí) </w:t>
      </w:r>
      <w:r w:rsidRPr="008719F7">
        <w:rPr>
          <w:rFonts w:ascii="Arial" w:eastAsia="Calibri" w:hAnsi="Arial" w:cs="Arial"/>
          <w:color w:val="000000"/>
          <w:sz w:val="20"/>
          <w:szCs w:val="20"/>
        </w:rPr>
        <w:t>a zároveň tyto podmínky a povinnosti nejsou jinde v části II. bodech 2 až 1</w:t>
      </w:r>
      <w:r w:rsidR="00F31D8F" w:rsidRPr="008719F7">
        <w:rPr>
          <w:rFonts w:ascii="Arial" w:eastAsia="Calibri" w:hAnsi="Arial" w:cs="Arial"/>
          <w:color w:val="000000"/>
          <w:sz w:val="20"/>
          <w:szCs w:val="20"/>
        </w:rPr>
        <w:t>3</w:t>
      </w:r>
      <w:r w:rsidRPr="008719F7">
        <w:rPr>
          <w:rFonts w:ascii="Arial" w:eastAsia="Calibri" w:hAnsi="Arial" w:cs="Arial"/>
          <w:color w:val="000000"/>
          <w:sz w:val="20"/>
          <w:szCs w:val="20"/>
        </w:rPr>
        <w:t xml:space="preserve"> tohoto Rozhodnutí uvedeny;</w:t>
      </w:r>
    </w:p>
    <w:p w14:paraId="4CDBAF25" w14:textId="74BBB8A4" w:rsidR="009974F4" w:rsidRPr="008719F7" w:rsidRDefault="009974F4"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lastRenderedPageBreak/>
        <w:t>dojde k porušení povinnosti předložit dokument</w:t>
      </w:r>
      <w:r w:rsidR="00A95A99" w:rsidRPr="008719F7">
        <w:rPr>
          <w:rFonts w:ascii="Arial" w:eastAsia="Calibri" w:hAnsi="Arial" w:cs="Arial"/>
          <w:color w:val="000000"/>
          <w:sz w:val="20"/>
          <w:szCs w:val="20"/>
        </w:rPr>
        <w:t>aci</w:t>
      </w:r>
      <w:r w:rsidR="00FB468A" w:rsidRPr="008719F7">
        <w:rPr>
          <w:rFonts w:ascii="Arial" w:eastAsia="Calibri" w:hAnsi="Arial" w:cs="Arial"/>
          <w:color w:val="000000"/>
          <w:sz w:val="20"/>
          <w:szCs w:val="20"/>
        </w:rPr>
        <w:t xml:space="preserve"> </w:t>
      </w:r>
      <w:bookmarkStart w:id="12" w:name="_Hlk29199569"/>
      <w:r w:rsidR="00FB468A" w:rsidRPr="008719F7">
        <w:rPr>
          <w:rFonts w:ascii="Arial" w:eastAsia="Calibri" w:hAnsi="Arial" w:cs="Arial"/>
          <w:color w:val="000000"/>
          <w:sz w:val="20"/>
          <w:szCs w:val="20"/>
        </w:rPr>
        <w:t>nezbytn</w:t>
      </w:r>
      <w:r w:rsidR="00A95A99" w:rsidRPr="008719F7">
        <w:rPr>
          <w:rFonts w:ascii="Arial" w:eastAsia="Calibri" w:hAnsi="Arial" w:cs="Arial"/>
          <w:color w:val="000000"/>
          <w:sz w:val="20"/>
          <w:szCs w:val="20"/>
        </w:rPr>
        <w:t>ou</w:t>
      </w:r>
      <w:r w:rsidR="00FB468A" w:rsidRPr="008719F7">
        <w:rPr>
          <w:rFonts w:ascii="Arial" w:eastAsia="Calibri" w:hAnsi="Arial" w:cs="Arial"/>
          <w:color w:val="000000"/>
          <w:sz w:val="20"/>
          <w:szCs w:val="20"/>
        </w:rPr>
        <w:t xml:space="preserve"> k průběžnému monitorování a vyúčtování dotace </w:t>
      </w:r>
      <w:bookmarkEnd w:id="12"/>
      <w:r w:rsidRPr="008719F7">
        <w:rPr>
          <w:rFonts w:ascii="Arial" w:eastAsia="Calibri" w:hAnsi="Arial" w:cs="Arial"/>
          <w:color w:val="000000"/>
          <w:sz w:val="20"/>
          <w:szCs w:val="20"/>
        </w:rPr>
        <w:t xml:space="preserve">ve stanoveném termínu (dle části II., bod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.1 tohoto Rozhodnutí) a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 xml:space="preserve"> bud</w:t>
      </w:r>
      <w:r w:rsidR="00A95A99" w:rsidRPr="008719F7">
        <w:rPr>
          <w:rFonts w:ascii="Arial" w:eastAsia="Calibri" w:hAnsi="Arial" w:cs="Arial"/>
          <w:color w:val="000000"/>
          <w:sz w:val="20"/>
          <w:szCs w:val="20"/>
        </w:rPr>
        <w:t>e</w:t>
      </w:r>
      <w:r w:rsidRPr="008719F7">
        <w:rPr>
          <w:rFonts w:ascii="Arial" w:eastAsia="Calibri" w:hAnsi="Arial" w:cs="Arial"/>
          <w:color w:val="000000"/>
          <w:sz w:val="20"/>
          <w:szCs w:val="20"/>
        </w:rPr>
        <w:t xml:space="preserve"> předložen</w:t>
      </w:r>
      <w:r w:rsidR="00A95A99" w:rsidRPr="008719F7">
        <w:rPr>
          <w:rFonts w:ascii="Arial" w:eastAsia="Calibri" w:hAnsi="Arial" w:cs="Arial"/>
          <w:color w:val="000000"/>
          <w:sz w:val="20"/>
          <w:szCs w:val="20"/>
        </w:rPr>
        <w:t>a</w:t>
      </w:r>
      <w:r w:rsidRPr="008719F7">
        <w:rPr>
          <w:rFonts w:ascii="Arial" w:eastAsia="Calibri" w:hAnsi="Arial" w:cs="Arial"/>
          <w:color w:val="000000"/>
          <w:sz w:val="20"/>
          <w:szCs w:val="20"/>
        </w:rPr>
        <w:t xml:space="preserve"> do data stanoveného písemnou výzvou Poskytovatele dotace k předložení požadovan</w:t>
      </w:r>
      <w:r w:rsidR="00A95A99" w:rsidRPr="008719F7">
        <w:rPr>
          <w:rFonts w:ascii="Arial" w:eastAsia="Calibri" w:hAnsi="Arial" w:cs="Arial"/>
          <w:color w:val="000000"/>
          <w:sz w:val="20"/>
          <w:szCs w:val="20"/>
        </w:rPr>
        <w:t>é</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w:t>
      </w:r>
    </w:p>
    <w:p w14:paraId="22DAFAAE" w14:textId="33B2EFFA" w:rsidR="009974F4" w:rsidRPr="008719F7" w:rsidRDefault="009974F4"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provést nápravu nedostatků týkajících</w:t>
      </w:r>
      <w:r w:rsidR="00A95A99" w:rsidRPr="008719F7">
        <w:rPr>
          <w:rFonts w:ascii="Arial" w:eastAsia="Calibri" w:hAnsi="Arial" w:cs="Arial"/>
          <w:color w:val="000000"/>
          <w:sz w:val="20"/>
          <w:szCs w:val="20"/>
        </w:rPr>
        <w:t xml:space="preserve"> se</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 xml:space="preserve"> předkládan</w:t>
      </w:r>
      <w:r w:rsidR="00A95A99" w:rsidRPr="008719F7">
        <w:rPr>
          <w:rFonts w:ascii="Arial" w:eastAsia="Calibri" w:hAnsi="Arial" w:cs="Arial"/>
          <w:color w:val="000000"/>
          <w:sz w:val="20"/>
          <w:szCs w:val="20"/>
        </w:rPr>
        <w:t>é</w:t>
      </w:r>
      <w:r w:rsidRPr="008719F7">
        <w:rPr>
          <w:rFonts w:ascii="Arial" w:eastAsia="Calibri" w:hAnsi="Arial" w:cs="Arial"/>
          <w:color w:val="000000"/>
          <w:sz w:val="20"/>
          <w:szCs w:val="20"/>
        </w:rPr>
        <w:t xml:space="preserve"> za</w:t>
      </w:r>
      <w:r w:rsidR="00D92FE6" w:rsidRPr="008719F7">
        <w:rPr>
          <w:rFonts w:ascii="Arial" w:eastAsia="Calibri" w:hAnsi="Arial" w:cs="Arial"/>
          <w:color w:val="000000"/>
          <w:sz w:val="20"/>
          <w:szCs w:val="20"/>
        </w:rPr>
        <w:t xml:space="preserve"> </w:t>
      </w:r>
      <w:r w:rsidRPr="008719F7">
        <w:rPr>
          <w:rFonts w:ascii="Arial" w:eastAsia="Calibri" w:hAnsi="Arial" w:cs="Arial"/>
          <w:color w:val="000000"/>
          <w:sz w:val="20"/>
          <w:szCs w:val="20"/>
        </w:rPr>
        <w:t xml:space="preserve">jednotlivá monitorovací období (dle části II., bod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.2 tohoto Rozhodnutí) a opraven</w:t>
      </w:r>
      <w:r w:rsidR="00A95A99" w:rsidRPr="008719F7">
        <w:rPr>
          <w:rFonts w:ascii="Arial" w:eastAsia="Calibri" w:hAnsi="Arial" w:cs="Arial"/>
          <w:color w:val="000000"/>
          <w:sz w:val="20"/>
          <w:szCs w:val="20"/>
        </w:rPr>
        <w:t>á</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 xml:space="preserve"> bud</w:t>
      </w:r>
      <w:r w:rsidR="00A95A99" w:rsidRPr="008719F7">
        <w:rPr>
          <w:rFonts w:ascii="Arial" w:eastAsia="Calibri" w:hAnsi="Arial" w:cs="Arial"/>
          <w:color w:val="000000"/>
          <w:sz w:val="20"/>
          <w:szCs w:val="20"/>
        </w:rPr>
        <w:t>e</w:t>
      </w:r>
      <w:r w:rsidRPr="008719F7">
        <w:rPr>
          <w:rFonts w:ascii="Arial" w:eastAsia="Calibri" w:hAnsi="Arial" w:cs="Arial"/>
          <w:color w:val="000000"/>
          <w:sz w:val="20"/>
          <w:szCs w:val="20"/>
        </w:rPr>
        <w:t xml:space="preserve"> předložen</w:t>
      </w:r>
      <w:r w:rsidR="00A95A99" w:rsidRPr="008719F7">
        <w:rPr>
          <w:rFonts w:ascii="Arial" w:eastAsia="Calibri" w:hAnsi="Arial" w:cs="Arial"/>
          <w:color w:val="000000"/>
          <w:sz w:val="20"/>
          <w:szCs w:val="20"/>
        </w:rPr>
        <w:t>a</w:t>
      </w:r>
      <w:r w:rsidRPr="008719F7">
        <w:rPr>
          <w:rFonts w:ascii="Arial" w:eastAsia="Calibri" w:hAnsi="Arial" w:cs="Arial"/>
          <w:color w:val="000000"/>
          <w:sz w:val="20"/>
          <w:szCs w:val="20"/>
        </w:rPr>
        <w:t xml:space="preserve"> do data stanoveného opakovanou písemnou výzvou Poskytovatele dotace k předložení požadovan</w:t>
      </w:r>
      <w:r w:rsidR="00A95A99" w:rsidRPr="008719F7">
        <w:rPr>
          <w:rFonts w:ascii="Arial" w:eastAsia="Calibri" w:hAnsi="Arial" w:cs="Arial"/>
          <w:color w:val="000000"/>
          <w:sz w:val="20"/>
          <w:szCs w:val="20"/>
        </w:rPr>
        <w:t>é</w:t>
      </w:r>
      <w:r w:rsidRPr="008719F7">
        <w:rPr>
          <w:rFonts w:ascii="Arial" w:eastAsia="Calibri" w:hAnsi="Arial" w:cs="Arial"/>
          <w:color w:val="000000"/>
          <w:sz w:val="20"/>
          <w:szCs w:val="20"/>
        </w:rPr>
        <w:t xml:space="preserve"> dokument</w:t>
      </w:r>
      <w:r w:rsidR="00A95A99" w:rsidRPr="008719F7">
        <w:rPr>
          <w:rFonts w:ascii="Arial" w:eastAsia="Calibri" w:hAnsi="Arial" w:cs="Arial"/>
          <w:color w:val="000000"/>
          <w:sz w:val="20"/>
          <w:szCs w:val="20"/>
        </w:rPr>
        <w:t>ace</w:t>
      </w:r>
      <w:r w:rsidRPr="008719F7">
        <w:rPr>
          <w:rFonts w:ascii="Arial" w:eastAsia="Calibri" w:hAnsi="Arial" w:cs="Arial"/>
          <w:color w:val="000000"/>
          <w:sz w:val="20"/>
          <w:szCs w:val="20"/>
        </w:rPr>
        <w:t>;</w:t>
      </w:r>
    </w:p>
    <w:p w14:paraId="4B93E1E8" w14:textId="26209829" w:rsidR="009974F4" w:rsidRPr="008719F7" w:rsidRDefault="009974F4"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k porušení povinnosti oznámení skutečností majících vliv na povahu nebo podmínky účelu dotace, nebo změny (dle části II., bod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w:t>
      </w:r>
      <w:r w:rsidR="00790599" w:rsidRPr="008719F7">
        <w:rPr>
          <w:rFonts w:ascii="Arial" w:eastAsia="Calibri" w:hAnsi="Arial" w:cs="Arial"/>
          <w:color w:val="000000"/>
          <w:sz w:val="20"/>
          <w:szCs w:val="20"/>
        </w:rPr>
        <w:t>3</w:t>
      </w:r>
      <w:r w:rsidRPr="008719F7">
        <w:rPr>
          <w:rFonts w:ascii="Arial" w:eastAsia="Calibri" w:hAnsi="Arial" w:cs="Arial"/>
          <w:color w:val="000000"/>
          <w:sz w:val="20"/>
          <w:szCs w:val="20"/>
        </w:rPr>
        <w:t xml:space="preserve"> tohoto Rozhodnutí) a tato neoznámená skutečnost/změna nebude mít prokazatelný vliv na plnění účelu dotace; </w:t>
      </w:r>
    </w:p>
    <w:p w14:paraId="034E5B80" w14:textId="428314B0" w:rsidR="009974F4" w:rsidRPr="008719F7" w:rsidRDefault="009974F4"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poskytnutí jakékoliv doplňující informace (dle části II., bod</w:t>
      </w:r>
      <w:r w:rsidR="00A77060" w:rsidRPr="008719F7">
        <w:rPr>
          <w:rFonts w:ascii="Arial" w:eastAsia="Calibri" w:hAnsi="Arial" w:cs="Arial"/>
          <w:color w:val="000000"/>
          <w:sz w:val="20"/>
          <w:szCs w:val="20"/>
        </w:rPr>
        <w:t> </w:t>
      </w:r>
      <w:r w:rsidR="00787450" w:rsidRPr="008719F7">
        <w:rPr>
          <w:rFonts w:ascii="Arial" w:eastAsia="Calibri" w:hAnsi="Arial" w:cs="Arial"/>
          <w:color w:val="000000"/>
          <w:sz w:val="20"/>
          <w:szCs w:val="20"/>
        </w:rPr>
        <w:t>4</w:t>
      </w:r>
      <w:r w:rsidRPr="008719F7">
        <w:rPr>
          <w:rFonts w:ascii="Arial" w:eastAsia="Calibri" w:hAnsi="Arial" w:cs="Arial"/>
          <w:color w:val="000000"/>
          <w:sz w:val="20"/>
          <w:szCs w:val="20"/>
        </w:rPr>
        <w:t>.</w:t>
      </w:r>
      <w:r w:rsidR="00790599" w:rsidRPr="008719F7">
        <w:rPr>
          <w:rFonts w:ascii="Arial" w:eastAsia="Calibri" w:hAnsi="Arial" w:cs="Arial"/>
          <w:color w:val="000000"/>
          <w:sz w:val="20"/>
          <w:szCs w:val="20"/>
        </w:rPr>
        <w:t>4</w:t>
      </w:r>
      <w:r w:rsidRPr="008719F7">
        <w:rPr>
          <w:rFonts w:ascii="Arial" w:eastAsia="Calibri" w:hAnsi="Arial" w:cs="Arial"/>
          <w:color w:val="000000"/>
          <w:sz w:val="20"/>
          <w:szCs w:val="20"/>
        </w:rPr>
        <w:t xml:space="preserve"> tohoto Rozhodnutí), ale tato informace bude předložena do data stanoveného opakovanou písemnou výzvou Poskytovatele dotace; </w:t>
      </w:r>
    </w:p>
    <w:p w14:paraId="662780A2" w14:textId="77777777" w:rsidR="005F1789" w:rsidRPr="008719F7" w:rsidRDefault="00D93DC5"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k porušení povinnosti předat účetní záznamy nebo další doklady (dle části II., bod 5.2 tohoto Rozhodnutí), ale tyto účetní záznamy nebo další doklady budou předloženy do data stanoveného opakovanou písemnou výzvou Poskytovatele dotace; </w:t>
      </w:r>
    </w:p>
    <w:p w14:paraId="051731C3" w14:textId="1E8818AE" w:rsidR="00D93DC5" w:rsidRPr="008719F7" w:rsidRDefault="00D93DC5"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povinností označit každý originál účetního dokladu dle Metodiky (dle části II., bod 5.3 tohoto Rozhodnutí)</w:t>
      </w:r>
      <w:r w:rsidR="005F1789" w:rsidRPr="008719F7">
        <w:rPr>
          <w:rFonts w:ascii="Arial" w:eastAsia="Calibri" w:hAnsi="Arial" w:cs="Arial"/>
          <w:color w:val="000000"/>
          <w:sz w:val="20"/>
          <w:szCs w:val="20"/>
        </w:rPr>
        <w:t xml:space="preserve">, ale </w:t>
      </w:r>
      <w:r w:rsidRPr="008719F7">
        <w:rPr>
          <w:rFonts w:ascii="Arial" w:eastAsia="Calibri" w:hAnsi="Arial" w:cs="Arial"/>
          <w:color w:val="000000"/>
          <w:sz w:val="20"/>
          <w:szCs w:val="20"/>
        </w:rPr>
        <w:t xml:space="preserve">k nápravě </w:t>
      </w:r>
      <w:r w:rsidR="005F1789" w:rsidRPr="008719F7">
        <w:rPr>
          <w:rFonts w:ascii="Arial" w:eastAsia="Calibri" w:hAnsi="Arial" w:cs="Arial"/>
          <w:color w:val="000000"/>
          <w:sz w:val="20"/>
          <w:szCs w:val="20"/>
        </w:rPr>
        <w:t>dojde na základě písemné výzvy Poskytovatele dotace);</w:t>
      </w:r>
    </w:p>
    <w:p w14:paraId="755DD8B7" w14:textId="6282568F" w:rsidR="001F52F7" w:rsidRPr="008719F7" w:rsidRDefault="009974F4"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povinnosti předložit podklady pro finanční vypořádání poskytnuté dotace podle vyhlášky č. 367/2015 Sb., o zásadách a lhůtách finančního vypořádání vztahů se státním rozpočtem, státními finančními aktivy a Národním fond</w:t>
      </w:r>
      <w:r w:rsidR="0056317C" w:rsidRPr="008719F7">
        <w:rPr>
          <w:rFonts w:ascii="Arial" w:eastAsia="Calibri" w:hAnsi="Arial" w:cs="Arial"/>
          <w:color w:val="000000"/>
          <w:sz w:val="20"/>
          <w:szCs w:val="20"/>
        </w:rPr>
        <w:t>em (</w:t>
      </w:r>
      <w:r w:rsidR="00B1386A" w:rsidRPr="008719F7">
        <w:rPr>
          <w:rFonts w:ascii="Arial" w:eastAsia="Calibri" w:hAnsi="Arial" w:cs="Arial"/>
          <w:color w:val="000000"/>
          <w:sz w:val="20"/>
          <w:szCs w:val="20"/>
        </w:rPr>
        <w:t>dle</w:t>
      </w:r>
      <w:r w:rsidR="00884C33" w:rsidRPr="008719F7">
        <w:rPr>
          <w:rFonts w:ascii="Arial" w:eastAsia="Calibri" w:hAnsi="Arial" w:cs="Arial"/>
          <w:color w:val="000000"/>
          <w:sz w:val="20"/>
          <w:szCs w:val="20"/>
        </w:rPr>
        <w:t> </w:t>
      </w:r>
      <w:r w:rsidR="0056317C" w:rsidRPr="008719F7">
        <w:rPr>
          <w:rFonts w:ascii="Arial" w:eastAsia="Calibri" w:hAnsi="Arial" w:cs="Arial"/>
          <w:color w:val="000000"/>
          <w:sz w:val="20"/>
          <w:szCs w:val="20"/>
        </w:rPr>
        <w:t xml:space="preserve">části II., bod </w:t>
      </w:r>
      <w:r w:rsidR="00787450" w:rsidRPr="008719F7">
        <w:rPr>
          <w:rFonts w:ascii="Arial" w:eastAsia="Calibri" w:hAnsi="Arial" w:cs="Arial"/>
          <w:color w:val="000000"/>
          <w:sz w:val="20"/>
          <w:szCs w:val="20"/>
        </w:rPr>
        <w:t>7</w:t>
      </w:r>
      <w:r w:rsidRPr="008719F7">
        <w:rPr>
          <w:rFonts w:ascii="Arial" w:eastAsia="Calibri" w:hAnsi="Arial" w:cs="Arial"/>
          <w:color w:val="000000"/>
          <w:sz w:val="20"/>
          <w:szCs w:val="20"/>
        </w:rPr>
        <w:t>. tohoto Rozhodnutí);</w:t>
      </w:r>
      <w:bookmarkStart w:id="13" w:name="_Hlk29812004"/>
    </w:p>
    <w:p w14:paraId="6103EC10" w14:textId="5884600E" w:rsidR="001F52F7" w:rsidRPr="008719F7" w:rsidRDefault="001F52F7"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dojde k porušení povinností týkajících se provádění informačních a komunikačních opatření (</w:t>
      </w:r>
      <w:r w:rsidR="00B1386A" w:rsidRPr="008719F7">
        <w:rPr>
          <w:rFonts w:ascii="Arial" w:eastAsia="Calibri" w:hAnsi="Arial" w:cs="Arial"/>
          <w:color w:val="000000"/>
          <w:sz w:val="20"/>
          <w:szCs w:val="20"/>
        </w:rPr>
        <w:t>dle</w:t>
      </w:r>
      <w:r w:rsidRPr="008719F7">
        <w:rPr>
          <w:rFonts w:ascii="Arial" w:eastAsia="Calibri" w:hAnsi="Arial" w:cs="Arial"/>
          <w:color w:val="000000"/>
          <w:sz w:val="20"/>
          <w:szCs w:val="20"/>
        </w:rPr>
        <w:t xml:space="preserve"> části II., bod</w:t>
      </w:r>
      <w:r w:rsidR="00E244B5" w:rsidRPr="008719F7">
        <w:rPr>
          <w:rFonts w:ascii="Arial" w:eastAsia="Calibri" w:hAnsi="Arial" w:cs="Arial"/>
          <w:color w:val="000000"/>
          <w:sz w:val="20"/>
          <w:szCs w:val="20"/>
        </w:rPr>
        <w:t>y</w:t>
      </w:r>
      <w:r w:rsidRPr="008719F7">
        <w:rPr>
          <w:rFonts w:ascii="Arial" w:eastAsia="Calibri" w:hAnsi="Arial" w:cs="Arial"/>
          <w:color w:val="000000"/>
          <w:sz w:val="20"/>
          <w:szCs w:val="20"/>
        </w:rPr>
        <w:t xml:space="preserve"> </w:t>
      </w:r>
      <w:r w:rsidR="00E244B5" w:rsidRPr="008719F7">
        <w:rPr>
          <w:rFonts w:ascii="Arial" w:eastAsia="Calibri" w:hAnsi="Arial" w:cs="Arial"/>
          <w:color w:val="000000"/>
          <w:sz w:val="20"/>
          <w:szCs w:val="20"/>
        </w:rPr>
        <w:t>9</w:t>
      </w:r>
      <w:r w:rsidRPr="008719F7">
        <w:rPr>
          <w:rFonts w:ascii="Arial" w:eastAsia="Calibri" w:hAnsi="Arial" w:cs="Arial"/>
          <w:color w:val="000000"/>
          <w:sz w:val="20"/>
          <w:szCs w:val="20"/>
        </w:rPr>
        <w:t>.1</w:t>
      </w:r>
      <w:r w:rsidR="00E244B5" w:rsidRPr="008719F7">
        <w:rPr>
          <w:rFonts w:ascii="Arial" w:eastAsia="Calibri" w:hAnsi="Arial" w:cs="Arial"/>
          <w:color w:val="000000"/>
          <w:sz w:val="20"/>
          <w:szCs w:val="20"/>
        </w:rPr>
        <w:t xml:space="preserve"> a 9.2 </w:t>
      </w:r>
      <w:r w:rsidRPr="008719F7">
        <w:rPr>
          <w:rFonts w:ascii="Arial" w:eastAsia="Calibri" w:hAnsi="Arial" w:cs="Arial"/>
          <w:color w:val="000000"/>
          <w:sz w:val="20"/>
          <w:szCs w:val="20"/>
        </w:rPr>
        <w:t>tohoto Rozhodnutí</w:t>
      </w:r>
      <w:r w:rsidR="00E244B5" w:rsidRPr="008719F7">
        <w:rPr>
          <w:rFonts w:ascii="Arial" w:eastAsia="Calibri" w:hAnsi="Arial" w:cs="Arial"/>
          <w:color w:val="000000"/>
          <w:sz w:val="20"/>
          <w:szCs w:val="20"/>
        </w:rPr>
        <w:t>)</w:t>
      </w:r>
      <w:r w:rsidRPr="008719F7">
        <w:rPr>
          <w:rFonts w:ascii="Arial" w:eastAsia="Calibri" w:hAnsi="Arial" w:cs="Arial"/>
          <w:color w:val="000000"/>
          <w:sz w:val="20"/>
          <w:szCs w:val="20"/>
        </w:rPr>
        <w:t xml:space="preserve"> a k nápravě dojde na základě písemné výzvy Poskytovatele dotace (</w:t>
      </w:r>
      <w:r w:rsidR="00B1386A" w:rsidRPr="008719F7">
        <w:rPr>
          <w:rFonts w:ascii="Arial" w:eastAsia="Calibri" w:hAnsi="Arial" w:cs="Arial"/>
          <w:color w:val="000000"/>
          <w:sz w:val="20"/>
          <w:szCs w:val="20"/>
        </w:rPr>
        <w:t xml:space="preserve">dle </w:t>
      </w:r>
      <w:r w:rsidRPr="008719F7">
        <w:rPr>
          <w:rFonts w:ascii="Arial" w:eastAsia="Calibri" w:hAnsi="Arial" w:cs="Arial"/>
          <w:color w:val="000000"/>
          <w:sz w:val="20"/>
          <w:szCs w:val="20"/>
        </w:rPr>
        <w:t xml:space="preserve">části II., bod </w:t>
      </w:r>
      <w:r w:rsidR="00E244B5" w:rsidRPr="008719F7">
        <w:rPr>
          <w:rFonts w:ascii="Arial" w:eastAsia="Calibri" w:hAnsi="Arial" w:cs="Arial"/>
          <w:color w:val="000000"/>
          <w:sz w:val="20"/>
          <w:szCs w:val="20"/>
        </w:rPr>
        <w:t>9</w:t>
      </w:r>
      <w:r w:rsidRPr="008719F7">
        <w:rPr>
          <w:rFonts w:ascii="Arial" w:eastAsia="Calibri" w:hAnsi="Arial" w:cs="Arial"/>
          <w:color w:val="000000"/>
          <w:sz w:val="20"/>
          <w:szCs w:val="20"/>
        </w:rPr>
        <w:t>.</w:t>
      </w:r>
      <w:r w:rsidR="00E244B5" w:rsidRPr="008719F7">
        <w:rPr>
          <w:rFonts w:ascii="Arial" w:eastAsia="Calibri" w:hAnsi="Arial" w:cs="Arial"/>
          <w:color w:val="000000"/>
          <w:sz w:val="20"/>
          <w:szCs w:val="20"/>
        </w:rPr>
        <w:t>3</w:t>
      </w:r>
      <w:r w:rsidRPr="008719F7">
        <w:rPr>
          <w:rFonts w:ascii="Arial" w:eastAsia="Calibri" w:hAnsi="Arial" w:cs="Arial"/>
          <w:color w:val="000000"/>
          <w:sz w:val="20"/>
          <w:szCs w:val="20"/>
        </w:rPr>
        <w:t xml:space="preserve"> tohoto Rozhodnutí); </w:t>
      </w:r>
      <w:bookmarkEnd w:id="13"/>
    </w:p>
    <w:p w14:paraId="3CEFE34C" w14:textId="35D1CD25" w:rsidR="009974F4" w:rsidRPr="008719F7" w:rsidRDefault="009974F4" w:rsidP="00995E23">
      <w:pPr>
        <w:numPr>
          <w:ilvl w:val="0"/>
          <w:numId w:val="14"/>
        </w:numPr>
        <w:pBdr>
          <w:top w:val="nil"/>
          <w:left w:val="nil"/>
          <w:bottom w:val="nil"/>
          <w:right w:val="nil"/>
          <w:between w:val="nil"/>
        </w:pBdr>
        <w:spacing w:after="120" w:line="276" w:lineRule="auto"/>
        <w:ind w:left="720" w:hanging="720"/>
        <w:rPr>
          <w:rFonts w:ascii="Arial" w:eastAsia="Calibri" w:hAnsi="Arial" w:cs="Arial"/>
          <w:color w:val="000000"/>
          <w:sz w:val="20"/>
          <w:szCs w:val="20"/>
        </w:rPr>
      </w:pPr>
      <w:r w:rsidRPr="008719F7">
        <w:rPr>
          <w:rFonts w:ascii="Arial" w:eastAsia="Calibri" w:hAnsi="Arial" w:cs="Arial"/>
          <w:color w:val="000000"/>
          <w:sz w:val="20"/>
          <w:szCs w:val="20"/>
        </w:rPr>
        <w:t xml:space="preserve">dojde k porušení povinnosti v oblasti ochrany osobních údajů (dle části II, bod </w:t>
      </w:r>
      <w:r w:rsidR="00787450" w:rsidRPr="008719F7">
        <w:rPr>
          <w:rFonts w:ascii="Arial" w:eastAsia="Calibri" w:hAnsi="Arial" w:cs="Arial"/>
          <w:color w:val="000000"/>
          <w:sz w:val="20"/>
          <w:szCs w:val="20"/>
        </w:rPr>
        <w:t>1</w:t>
      </w:r>
      <w:r w:rsidR="00F31D8F" w:rsidRPr="008719F7">
        <w:rPr>
          <w:rFonts w:ascii="Arial" w:eastAsia="Calibri" w:hAnsi="Arial" w:cs="Arial"/>
          <w:color w:val="000000"/>
          <w:sz w:val="20"/>
          <w:szCs w:val="20"/>
        </w:rPr>
        <w:t>2</w:t>
      </w:r>
      <w:r w:rsidRPr="008719F7">
        <w:rPr>
          <w:rFonts w:ascii="Arial" w:eastAsia="Calibri" w:hAnsi="Arial" w:cs="Arial"/>
          <w:color w:val="000000"/>
          <w:sz w:val="20"/>
          <w:szCs w:val="20"/>
        </w:rPr>
        <w:t>.</w:t>
      </w:r>
      <w:r w:rsidR="00884C33" w:rsidRPr="008719F7">
        <w:rPr>
          <w:rFonts w:ascii="Arial" w:eastAsia="Calibri" w:hAnsi="Arial" w:cs="Arial"/>
          <w:color w:val="000000"/>
          <w:sz w:val="20"/>
          <w:szCs w:val="20"/>
        </w:rPr>
        <w:t> </w:t>
      </w:r>
      <w:r w:rsidRPr="008719F7">
        <w:rPr>
          <w:rFonts w:ascii="Arial" w:eastAsia="Calibri" w:hAnsi="Arial" w:cs="Arial"/>
          <w:color w:val="000000"/>
          <w:sz w:val="20"/>
          <w:szCs w:val="20"/>
        </w:rPr>
        <w:t xml:space="preserve">tohoto Rozhodnutí); </w:t>
      </w:r>
    </w:p>
    <w:p w14:paraId="12D65D80" w14:textId="113BE6DA" w:rsidR="009974F4" w:rsidRPr="008719F7" w:rsidRDefault="009974F4" w:rsidP="00BD54B3">
      <w:pPr>
        <w:pBdr>
          <w:top w:val="nil"/>
          <w:left w:val="nil"/>
          <w:bottom w:val="nil"/>
          <w:right w:val="nil"/>
          <w:between w:val="nil"/>
        </w:pBdr>
        <w:spacing w:after="120" w:line="276" w:lineRule="auto"/>
        <w:ind w:left="720" w:hanging="720"/>
        <w:rPr>
          <w:rFonts w:ascii="Arial" w:eastAsia="Calibri" w:hAnsi="Arial" w:cs="Arial"/>
          <w:sz w:val="20"/>
          <w:szCs w:val="20"/>
        </w:rPr>
      </w:pPr>
      <w:r w:rsidRPr="008719F7">
        <w:rPr>
          <w:rFonts w:ascii="Arial" w:eastAsia="Calibri" w:hAnsi="Arial" w:cs="Arial"/>
          <w:sz w:val="20"/>
          <w:szCs w:val="20"/>
        </w:rPr>
        <w:t xml:space="preserve">nejedná se o porušení rozpočtové kázně ve smyslu </w:t>
      </w:r>
      <w:r w:rsidR="007D31F3" w:rsidRPr="008719F7">
        <w:rPr>
          <w:rFonts w:ascii="Arial" w:eastAsia="Calibri" w:hAnsi="Arial" w:cs="Arial"/>
          <w:sz w:val="20"/>
          <w:szCs w:val="20"/>
        </w:rPr>
        <w:t>R</w:t>
      </w:r>
      <w:r w:rsidRPr="008719F7">
        <w:rPr>
          <w:rFonts w:ascii="Arial" w:eastAsia="Calibri" w:hAnsi="Arial" w:cs="Arial"/>
          <w:sz w:val="20"/>
          <w:szCs w:val="20"/>
        </w:rPr>
        <w:t>ozpočtových pravidel.</w:t>
      </w:r>
    </w:p>
    <w:p w14:paraId="22D43718" w14:textId="77777777" w:rsidR="004A083D" w:rsidRPr="008719F7" w:rsidRDefault="004A083D" w:rsidP="00BD54B3">
      <w:pPr>
        <w:pBdr>
          <w:top w:val="nil"/>
          <w:left w:val="nil"/>
          <w:bottom w:val="nil"/>
          <w:right w:val="nil"/>
          <w:between w:val="nil"/>
        </w:pBdr>
        <w:spacing w:after="120" w:line="276" w:lineRule="auto"/>
        <w:ind w:left="720" w:hanging="720"/>
        <w:rPr>
          <w:rFonts w:ascii="Arial" w:eastAsia="Calibri" w:hAnsi="Arial" w:cs="Arial"/>
          <w:b/>
          <w:color w:val="000000"/>
          <w:sz w:val="20"/>
          <w:szCs w:val="20"/>
        </w:rPr>
      </w:pPr>
    </w:p>
    <w:p w14:paraId="425268C3" w14:textId="77777777" w:rsidR="002C59CE" w:rsidRPr="008719F7" w:rsidRDefault="002C59CE"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ČÁST V.</w:t>
      </w:r>
    </w:p>
    <w:p w14:paraId="6E89E0E5" w14:textId="1D349C5A" w:rsidR="002C59CE" w:rsidRPr="008719F7" w:rsidRDefault="002C59CE" w:rsidP="006F7D4C">
      <w:pPr>
        <w:keepNext/>
        <w:keepLines/>
        <w:spacing w:after="120" w:line="276" w:lineRule="auto"/>
        <w:jc w:val="center"/>
        <w:rPr>
          <w:rFonts w:ascii="Arial" w:eastAsia="Calibri" w:hAnsi="Arial" w:cs="Arial"/>
          <w:b/>
          <w:sz w:val="20"/>
          <w:szCs w:val="20"/>
        </w:rPr>
      </w:pPr>
      <w:r w:rsidRPr="008719F7">
        <w:rPr>
          <w:rFonts w:ascii="Arial" w:eastAsia="Calibri" w:hAnsi="Arial" w:cs="Arial"/>
          <w:b/>
          <w:sz w:val="20"/>
          <w:szCs w:val="20"/>
        </w:rPr>
        <w:t xml:space="preserve">ZÁVĚREČNÁ USTANOVENÍ </w:t>
      </w:r>
    </w:p>
    <w:p w14:paraId="352A0A7E" w14:textId="1A009FAC" w:rsidR="002C59CE" w:rsidRPr="008719F7" w:rsidRDefault="002C59CE" w:rsidP="00995E23">
      <w:pPr>
        <w:pStyle w:val="ustanoven"/>
        <w:numPr>
          <w:ilvl w:val="0"/>
          <w:numId w:val="6"/>
        </w:numPr>
        <w:tabs>
          <w:tab w:val="clear" w:pos="360"/>
          <w:tab w:val="num" w:pos="709"/>
          <w:tab w:val="num" w:pos="9072"/>
        </w:tabs>
        <w:spacing w:before="0" w:line="276" w:lineRule="auto"/>
        <w:ind w:left="720" w:hanging="720"/>
        <w:rPr>
          <w:rFonts w:ascii="Arial" w:eastAsia="Calibri" w:hAnsi="Arial"/>
          <w:iCs w:val="0"/>
          <w:snapToGrid/>
          <w:color w:val="000000"/>
          <w:sz w:val="20"/>
          <w:szCs w:val="20"/>
          <w:lang w:eastAsia="en-US"/>
        </w:rPr>
      </w:pPr>
      <w:r w:rsidRPr="008719F7">
        <w:rPr>
          <w:rFonts w:ascii="Arial" w:eastAsia="Calibri" w:hAnsi="Arial"/>
          <w:iCs w:val="0"/>
          <w:snapToGrid/>
          <w:color w:val="000000"/>
          <w:sz w:val="20"/>
          <w:szCs w:val="20"/>
          <w:lang w:eastAsia="en-US"/>
        </w:rPr>
        <w:t>Rozhodnutí je vyhotoveno ve 2</w:t>
      </w:r>
      <w:r w:rsidR="00FE71D0" w:rsidRPr="008719F7">
        <w:rPr>
          <w:rFonts w:ascii="Arial" w:eastAsia="Calibri" w:hAnsi="Arial"/>
          <w:iCs w:val="0"/>
          <w:snapToGrid/>
          <w:color w:val="000000"/>
          <w:sz w:val="20"/>
          <w:szCs w:val="20"/>
          <w:lang w:eastAsia="en-US"/>
        </w:rPr>
        <w:t xml:space="preserve"> (dvou)</w:t>
      </w:r>
      <w:r w:rsidRPr="008719F7">
        <w:rPr>
          <w:rFonts w:ascii="Arial" w:eastAsia="Calibri" w:hAnsi="Arial"/>
          <w:iCs w:val="0"/>
          <w:snapToGrid/>
          <w:color w:val="000000"/>
          <w:sz w:val="20"/>
          <w:szCs w:val="20"/>
          <w:lang w:eastAsia="en-US"/>
        </w:rPr>
        <w:t xml:space="preserve"> stejnopisech, z nichž 1</w:t>
      </w:r>
      <w:r w:rsidR="00FE71D0" w:rsidRPr="008719F7">
        <w:rPr>
          <w:rFonts w:ascii="Arial" w:eastAsia="Calibri" w:hAnsi="Arial"/>
          <w:iCs w:val="0"/>
          <w:snapToGrid/>
          <w:color w:val="000000"/>
          <w:sz w:val="20"/>
          <w:szCs w:val="20"/>
          <w:lang w:eastAsia="en-US"/>
        </w:rPr>
        <w:t xml:space="preserve"> (jedno)</w:t>
      </w:r>
      <w:r w:rsidR="00137165" w:rsidRPr="008719F7">
        <w:rPr>
          <w:rFonts w:ascii="Arial" w:eastAsia="Calibri" w:hAnsi="Arial"/>
          <w:iCs w:val="0"/>
          <w:snapToGrid/>
          <w:color w:val="000000"/>
          <w:sz w:val="20"/>
          <w:szCs w:val="20"/>
          <w:lang w:eastAsia="en-US"/>
        </w:rPr>
        <w:t xml:space="preserve"> vyhotovení obdrží Příjemce a 1 </w:t>
      </w:r>
      <w:r w:rsidR="00FE71D0" w:rsidRPr="008719F7">
        <w:rPr>
          <w:rFonts w:ascii="Arial" w:eastAsia="Calibri" w:hAnsi="Arial"/>
          <w:iCs w:val="0"/>
          <w:snapToGrid/>
          <w:color w:val="000000"/>
          <w:sz w:val="20"/>
          <w:szCs w:val="20"/>
          <w:lang w:eastAsia="en-US"/>
        </w:rPr>
        <w:t xml:space="preserve">(jedno) </w:t>
      </w:r>
      <w:r w:rsidRPr="008719F7">
        <w:rPr>
          <w:rFonts w:ascii="Arial" w:eastAsia="Calibri" w:hAnsi="Arial"/>
          <w:iCs w:val="0"/>
          <w:snapToGrid/>
          <w:color w:val="000000"/>
          <w:sz w:val="20"/>
          <w:szCs w:val="20"/>
          <w:lang w:eastAsia="en-US"/>
        </w:rPr>
        <w:t>vyhotovení obdrží Poskytovatel dotace.</w:t>
      </w:r>
      <w:r w:rsidR="005F00EB" w:rsidRPr="008719F7">
        <w:rPr>
          <w:rFonts w:ascii="Arial" w:eastAsia="Calibri" w:hAnsi="Arial"/>
          <w:iCs w:val="0"/>
          <w:snapToGrid/>
          <w:color w:val="000000"/>
          <w:sz w:val="20"/>
          <w:szCs w:val="20"/>
          <w:lang w:eastAsia="en-US"/>
        </w:rPr>
        <w:t xml:space="preserve"> </w:t>
      </w:r>
    </w:p>
    <w:p w14:paraId="28E151B3" w14:textId="77777777" w:rsidR="002C59CE" w:rsidRPr="008719F7" w:rsidRDefault="002C59CE" w:rsidP="00995E23">
      <w:pPr>
        <w:pStyle w:val="ustanoven"/>
        <w:numPr>
          <w:ilvl w:val="0"/>
          <w:numId w:val="6"/>
        </w:numPr>
        <w:tabs>
          <w:tab w:val="clear" w:pos="360"/>
          <w:tab w:val="num" w:pos="709"/>
          <w:tab w:val="num" w:pos="9072"/>
        </w:tabs>
        <w:spacing w:before="0" w:line="276" w:lineRule="auto"/>
        <w:ind w:left="720" w:hanging="720"/>
        <w:rPr>
          <w:rFonts w:ascii="Arial" w:eastAsia="Calibri" w:hAnsi="Arial"/>
          <w:iCs w:val="0"/>
          <w:snapToGrid/>
          <w:color w:val="000000"/>
          <w:sz w:val="20"/>
          <w:szCs w:val="20"/>
          <w:lang w:eastAsia="en-US"/>
        </w:rPr>
      </w:pPr>
      <w:r w:rsidRPr="008719F7">
        <w:rPr>
          <w:rFonts w:ascii="Arial" w:eastAsia="Calibri" w:hAnsi="Arial"/>
          <w:iCs w:val="0"/>
          <w:snapToGrid/>
          <w:color w:val="000000"/>
          <w:sz w:val="20"/>
          <w:szCs w:val="20"/>
          <w:lang w:eastAsia="en-US"/>
        </w:rPr>
        <w:t xml:space="preserve">Veškeré změny Rozhodnutí je možné provádět na základě žádosti Příjemce a v souladu s právními předpisy. </w:t>
      </w:r>
    </w:p>
    <w:p w14:paraId="3C4B3187" w14:textId="4A8EA31D" w:rsidR="002C59CE" w:rsidRPr="008719F7" w:rsidRDefault="002C59CE" w:rsidP="00995E23">
      <w:pPr>
        <w:pStyle w:val="ustanoven"/>
        <w:numPr>
          <w:ilvl w:val="0"/>
          <w:numId w:val="6"/>
        </w:numPr>
        <w:tabs>
          <w:tab w:val="clear" w:pos="360"/>
          <w:tab w:val="num" w:pos="709"/>
          <w:tab w:val="num" w:pos="9072"/>
        </w:tabs>
        <w:spacing w:before="0" w:line="276" w:lineRule="auto"/>
        <w:ind w:left="720" w:hanging="720"/>
        <w:rPr>
          <w:rFonts w:ascii="Arial" w:eastAsia="Calibri" w:hAnsi="Arial"/>
          <w:iCs w:val="0"/>
          <w:snapToGrid/>
          <w:color w:val="000000"/>
          <w:sz w:val="20"/>
          <w:szCs w:val="20"/>
          <w:lang w:eastAsia="en-US"/>
        </w:rPr>
      </w:pPr>
      <w:r w:rsidRPr="008719F7">
        <w:rPr>
          <w:rFonts w:ascii="Arial" w:eastAsia="Calibri" w:hAnsi="Arial"/>
          <w:iCs w:val="0"/>
          <w:snapToGrid/>
          <w:color w:val="000000"/>
          <w:sz w:val="20"/>
          <w:szCs w:val="20"/>
          <w:lang w:eastAsia="en-US"/>
        </w:rPr>
        <w:t xml:space="preserve">Za podmínek stanovených v ustanovení §15 </w:t>
      </w:r>
      <w:r w:rsidR="007D31F3" w:rsidRPr="008719F7">
        <w:rPr>
          <w:rFonts w:ascii="Arial" w:eastAsia="Calibri" w:hAnsi="Arial"/>
          <w:iCs w:val="0"/>
          <w:snapToGrid/>
          <w:color w:val="000000"/>
          <w:sz w:val="20"/>
          <w:szCs w:val="20"/>
          <w:lang w:eastAsia="en-US"/>
        </w:rPr>
        <w:t>R</w:t>
      </w:r>
      <w:r w:rsidRPr="008719F7">
        <w:rPr>
          <w:rFonts w:ascii="Arial" w:eastAsia="Calibri" w:hAnsi="Arial"/>
          <w:iCs w:val="0"/>
          <w:snapToGrid/>
          <w:color w:val="000000"/>
          <w:sz w:val="20"/>
          <w:szCs w:val="20"/>
          <w:lang w:eastAsia="en-US"/>
        </w:rPr>
        <w:t>ozpočtových pravide</w:t>
      </w:r>
      <w:r w:rsidR="00FD49BF" w:rsidRPr="008719F7">
        <w:rPr>
          <w:rFonts w:ascii="Arial" w:eastAsia="Calibri" w:hAnsi="Arial"/>
          <w:iCs w:val="0"/>
          <w:snapToGrid/>
          <w:color w:val="000000"/>
          <w:sz w:val="20"/>
          <w:szCs w:val="20"/>
          <w:lang w:eastAsia="en-US"/>
        </w:rPr>
        <w:t>l</w:t>
      </w:r>
      <w:r w:rsidRPr="008719F7">
        <w:rPr>
          <w:rFonts w:ascii="Arial" w:eastAsia="Calibri" w:hAnsi="Arial"/>
          <w:iCs w:val="0"/>
          <w:snapToGrid/>
          <w:color w:val="000000"/>
          <w:sz w:val="20"/>
          <w:szCs w:val="20"/>
          <w:lang w:eastAsia="en-US"/>
        </w:rPr>
        <w:t xml:space="preserve"> může být zahájeno řízení o odnětí dotace. Na řízení o odnětí dotace se vztahují obecné předpisy o správním řízení.</w:t>
      </w:r>
    </w:p>
    <w:p w14:paraId="2BB7E76E" w14:textId="77777777" w:rsidR="002C59CE" w:rsidRPr="008719F7" w:rsidRDefault="002C59CE" w:rsidP="000948B4">
      <w:pPr>
        <w:pBdr>
          <w:top w:val="nil"/>
          <w:left w:val="nil"/>
          <w:bottom w:val="nil"/>
          <w:right w:val="nil"/>
          <w:between w:val="nil"/>
        </w:pBdr>
        <w:spacing w:after="120" w:line="276" w:lineRule="auto"/>
        <w:ind w:left="357"/>
        <w:rPr>
          <w:rFonts w:ascii="Arial" w:eastAsia="Calibri" w:hAnsi="Arial" w:cs="Arial"/>
          <w:sz w:val="20"/>
          <w:szCs w:val="20"/>
        </w:rPr>
      </w:pPr>
    </w:p>
    <w:p w14:paraId="2AA0AD79" w14:textId="227141ED" w:rsidR="006F5178" w:rsidRPr="008719F7" w:rsidRDefault="006F5178" w:rsidP="000948B4">
      <w:pPr>
        <w:spacing w:after="120" w:line="276" w:lineRule="auto"/>
        <w:jc w:val="left"/>
        <w:rPr>
          <w:rFonts w:ascii="Arial" w:eastAsia="Calibri" w:hAnsi="Arial" w:cs="Arial"/>
          <w:b/>
          <w:color w:val="000000"/>
          <w:sz w:val="20"/>
          <w:szCs w:val="20"/>
        </w:rPr>
      </w:pPr>
    </w:p>
    <w:p w14:paraId="449A8A43" w14:textId="77777777" w:rsidR="00CF47FF" w:rsidRPr="008719F7" w:rsidRDefault="00CF47FF" w:rsidP="006F7D4C">
      <w:pPr>
        <w:keepNext/>
        <w:keepLines/>
        <w:spacing w:after="120" w:line="276" w:lineRule="auto"/>
        <w:jc w:val="center"/>
        <w:rPr>
          <w:rFonts w:ascii="Arial" w:hAnsi="Arial" w:cs="Arial"/>
          <w:b/>
          <w:sz w:val="20"/>
          <w:szCs w:val="20"/>
        </w:rPr>
      </w:pPr>
      <w:r w:rsidRPr="008719F7">
        <w:rPr>
          <w:rFonts w:ascii="Arial" w:eastAsia="Calibri" w:hAnsi="Arial" w:cs="Arial"/>
          <w:b/>
          <w:sz w:val="20"/>
          <w:szCs w:val="20"/>
        </w:rPr>
        <w:t>ODŮVODNĚNÍ</w:t>
      </w:r>
    </w:p>
    <w:p w14:paraId="37D91F2C" w14:textId="6ED57219" w:rsidR="00291847" w:rsidRPr="008719F7" w:rsidRDefault="00291847" w:rsidP="005F1789">
      <w:p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b/>
          <w:bCs/>
          <w:color w:val="000000"/>
          <w:sz w:val="20"/>
          <w:szCs w:val="20"/>
        </w:rPr>
        <w:t xml:space="preserve">Dne </w:t>
      </w:r>
      <w:r w:rsidRPr="008719F7">
        <w:rPr>
          <w:rFonts w:ascii="Arial" w:eastAsia="Calibri" w:hAnsi="Arial" w:cs="Arial"/>
          <w:b/>
          <w:bCs/>
          <w:color w:val="000000"/>
          <w:sz w:val="20"/>
          <w:szCs w:val="20"/>
          <w:highlight w:val="lightGray"/>
        </w:rPr>
        <w:t>X. X. 20</w:t>
      </w:r>
      <w:r w:rsidR="00174078" w:rsidRPr="008719F7">
        <w:rPr>
          <w:rFonts w:ascii="Arial" w:eastAsia="Calibri" w:hAnsi="Arial" w:cs="Arial"/>
          <w:b/>
          <w:bCs/>
          <w:color w:val="000000"/>
          <w:sz w:val="20"/>
          <w:szCs w:val="20"/>
          <w:highlight w:val="lightGray"/>
        </w:rPr>
        <w:t>20</w:t>
      </w:r>
      <w:r w:rsidRPr="008719F7">
        <w:rPr>
          <w:rFonts w:ascii="Arial" w:eastAsia="Calibri" w:hAnsi="Arial" w:cs="Arial"/>
          <w:b/>
          <w:bCs/>
          <w:color w:val="000000"/>
          <w:sz w:val="20"/>
          <w:szCs w:val="20"/>
        </w:rPr>
        <w:t xml:space="preserve"> podal </w:t>
      </w:r>
      <w:proofErr w:type="spellStart"/>
      <w:r w:rsidRPr="008719F7">
        <w:rPr>
          <w:rFonts w:ascii="Arial" w:eastAsia="Calibri" w:hAnsi="Arial" w:cs="Arial"/>
          <w:b/>
          <w:bCs/>
          <w:color w:val="000000"/>
          <w:sz w:val="20"/>
          <w:szCs w:val="20"/>
          <w:highlight w:val="lightGray"/>
        </w:rPr>
        <w:t>xxxxxx</w:t>
      </w:r>
      <w:proofErr w:type="spellEnd"/>
      <w:r w:rsidRPr="008719F7">
        <w:rPr>
          <w:rFonts w:ascii="Arial" w:eastAsia="Calibri" w:hAnsi="Arial" w:cs="Arial"/>
          <w:b/>
          <w:bCs/>
          <w:color w:val="000000"/>
          <w:sz w:val="20"/>
          <w:szCs w:val="20"/>
        </w:rPr>
        <w:t xml:space="preserve"> se sídlem </w:t>
      </w:r>
      <w:proofErr w:type="spellStart"/>
      <w:r w:rsidRPr="008719F7">
        <w:rPr>
          <w:rFonts w:ascii="Arial" w:eastAsia="Calibri" w:hAnsi="Arial" w:cs="Arial"/>
          <w:b/>
          <w:bCs/>
          <w:color w:val="000000"/>
          <w:sz w:val="20"/>
          <w:szCs w:val="20"/>
          <w:highlight w:val="lightGray"/>
        </w:rPr>
        <w:t>xxxxxxxxxxxx</w:t>
      </w:r>
      <w:proofErr w:type="spellEnd"/>
      <w:r w:rsidRPr="008719F7">
        <w:rPr>
          <w:rFonts w:ascii="Arial" w:eastAsia="Calibri" w:hAnsi="Arial" w:cs="Arial"/>
          <w:b/>
          <w:bCs/>
          <w:color w:val="000000"/>
          <w:sz w:val="20"/>
          <w:szCs w:val="20"/>
        </w:rPr>
        <w:t xml:space="preserve"> (dále jen „Žadatel“), žádost o</w:t>
      </w:r>
      <w:r w:rsidR="00174078" w:rsidRPr="008719F7">
        <w:rPr>
          <w:rFonts w:ascii="Arial" w:eastAsia="Calibri" w:hAnsi="Arial" w:cs="Arial"/>
          <w:b/>
          <w:bCs/>
          <w:color w:val="000000"/>
          <w:sz w:val="20"/>
          <w:szCs w:val="20"/>
        </w:rPr>
        <w:t xml:space="preserve"> poskytnutí </w:t>
      </w:r>
      <w:r w:rsidRPr="008719F7">
        <w:rPr>
          <w:rFonts w:ascii="Arial" w:eastAsia="Calibri" w:hAnsi="Arial" w:cs="Arial"/>
          <w:b/>
          <w:bCs/>
          <w:color w:val="000000"/>
          <w:sz w:val="20"/>
          <w:szCs w:val="20"/>
        </w:rPr>
        <w:t>dotac</w:t>
      </w:r>
      <w:r w:rsidR="00174078" w:rsidRPr="008719F7">
        <w:rPr>
          <w:rFonts w:ascii="Arial" w:eastAsia="Calibri" w:hAnsi="Arial" w:cs="Arial"/>
          <w:b/>
          <w:bCs/>
          <w:color w:val="000000"/>
          <w:sz w:val="20"/>
          <w:szCs w:val="20"/>
        </w:rPr>
        <w:t>e</w:t>
      </w:r>
      <w:r w:rsidRPr="008719F7">
        <w:rPr>
          <w:rFonts w:ascii="Arial" w:eastAsia="Calibri" w:hAnsi="Arial" w:cs="Arial"/>
          <w:b/>
          <w:bCs/>
          <w:color w:val="000000"/>
          <w:sz w:val="20"/>
          <w:szCs w:val="20"/>
        </w:rPr>
        <w:t xml:space="preserve"> č.</w:t>
      </w:r>
      <w:r w:rsidR="009533BC" w:rsidRPr="008719F7">
        <w:rPr>
          <w:rFonts w:ascii="Arial" w:eastAsia="Calibri" w:hAnsi="Arial" w:cs="Arial"/>
          <w:b/>
          <w:bCs/>
          <w:color w:val="000000"/>
          <w:sz w:val="20"/>
          <w:szCs w:val="20"/>
        </w:rPr>
        <w:t> </w:t>
      </w:r>
      <w:proofErr w:type="spellStart"/>
      <w:r w:rsidRPr="008719F7">
        <w:rPr>
          <w:rFonts w:ascii="Arial" w:eastAsia="Calibri" w:hAnsi="Arial" w:cs="Arial"/>
          <w:b/>
          <w:bCs/>
          <w:color w:val="000000"/>
          <w:sz w:val="20"/>
          <w:szCs w:val="20"/>
          <w:highlight w:val="lightGray"/>
        </w:rPr>
        <w:t>xxxxxx</w:t>
      </w:r>
      <w:proofErr w:type="spellEnd"/>
      <w:r w:rsidRPr="008719F7">
        <w:rPr>
          <w:rFonts w:ascii="Arial" w:eastAsia="Calibri" w:hAnsi="Arial" w:cs="Arial"/>
          <w:b/>
          <w:bCs/>
          <w:color w:val="000000"/>
          <w:sz w:val="20"/>
          <w:szCs w:val="20"/>
        </w:rPr>
        <w:t xml:space="preserve"> v </w:t>
      </w:r>
      <w:r w:rsidR="00B965B0" w:rsidRPr="008719F7">
        <w:rPr>
          <w:rFonts w:ascii="Arial" w:eastAsia="Calibri" w:hAnsi="Arial" w:cs="Arial"/>
          <w:b/>
          <w:bCs/>
          <w:color w:val="000000"/>
          <w:sz w:val="20"/>
          <w:szCs w:val="20"/>
        </w:rPr>
        <w:t>Programu specializačního vzdělávání v oboru dětská neurologie</w:t>
      </w:r>
      <w:r w:rsidRPr="008719F7">
        <w:rPr>
          <w:rFonts w:ascii="Arial" w:eastAsia="Calibri" w:hAnsi="Arial" w:cs="Arial"/>
          <w:color w:val="000000"/>
          <w:sz w:val="20"/>
          <w:szCs w:val="20"/>
        </w:rPr>
        <w:t xml:space="preserve"> (dále jen „Žádost“). </w:t>
      </w:r>
    </w:p>
    <w:p w14:paraId="1F8DB9D9" w14:textId="38AF0D39" w:rsidR="00291847" w:rsidRPr="008719F7" w:rsidRDefault="00291847" w:rsidP="005F1789">
      <w:p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Podáním výše uvedené Žádosti bylo zahájeno řízení o poskytnutí dotace podle § 14 Rozpočtových pravidel, které se řídí pravidly uvedenými ve: </w:t>
      </w:r>
    </w:p>
    <w:p w14:paraId="6CA34936" w14:textId="39E03C56" w:rsidR="00B965B0" w:rsidRPr="008719F7" w:rsidRDefault="00B965B0" w:rsidP="00995E23">
      <w:pPr>
        <w:pStyle w:val="Odstavecseseznamem"/>
        <w:numPr>
          <w:ilvl w:val="0"/>
          <w:numId w:val="17"/>
        </w:num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Výzvě k předkládání žádostí o dotaci v Programu specializačního vzdělávání v</w:t>
      </w:r>
      <w:r w:rsidR="009533BC" w:rsidRPr="008719F7">
        <w:rPr>
          <w:rFonts w:ascii="Arial" w:eastAsia="Calibri" w:hAnsi="Arial" w:cs="Arial"/>
          <w:color w:val="000000"/>
          <w:sz w:val="20"/>
          <w:szCs w:val="20"/>
        </w:rPr>
        <w:t> </w:t>
      </w:r>
      <w:r w:rsidRPr="008719F7">
        <w:rPr>
          <w:rFonts w:ascii="Arial" w:eastAsia="Calibri" w:hAnsi="Arial" w:cs="Arial"/>
          <w:color w:val="000000"/>
          <w:sz w:val="20"/>
          <w:szCs w:val="20"/>
        </w:rPr>
        <w:t xml:space="preserve">oboru dětská neurologie uveřejněné dne </w:t>
      </w:r>
      <w:proofErr w:type="spellStart"/>
      <w:r w:rsidRPr="008719F7">
        <w:rPr>
          <w:rFonts w:ascii="Arial" w:eastAsia="Calibri" w:hAnsi="Arial" w:cs="Arial"/>
          <w:color w:val="000000"/>
          <w:sz w:val="20"/>
          <w:szCs w:val="20"/>
          <w:highlight w:val="lightGray"/>
        </w:rPr>
        <w:t>xxx</w:t>
      </w:r>
      <w:proofErr w:type="spellEnd"/>
      <w:r w:rsidRPr="008719F7">
        <w:rPr>
          <w:rFonts w:ascii="Arial" w:eastAsia="Calibri" w:hAnsi="Arial" w:cs="Arial"/>
          <w:color w:val="000000"/>
          <w:sz w:val="20"/>
          <w:szCs w:val="20"/>
          <w:highlight w:val="lightGray"/>
        </w:rPr>
        <w:t xml:space="preserve">. </w:t>
      </w:r>
      <w:proofErr w:type="spellStart"/>
      <w:r w:rsidRPr="008719F7">
        <w:rPr>
          <w:rFonts w:ascii="Arial" w:eastAsia="Calibri" w:hAnsi="Arial" w:cs="Arial"/>
          <w:color w:val="000000"/>
          <w:sz w:val="20"/>
          <w:szCs w:val="20"/>
          <w:highlight w:val="lightGray"/>
        </w:rPr>
        <w:t>xxx</w:t>
      </w:r>
      <w:proofErr w:type="spellEnd"/>
      <w:r w:rsidRPr="008719F7">
        <w:rPr>
          <w:rFonts w:ascii="Arial" w:eastAsia="Calibri" w:hAnsi="Arial" w:cs="Arial"/>
          <w:color w:val="000000"/>
          <w:sz w:val="20"/>
          <w:szCs w:val="20"/>
          <w:highlight w:val="lightGray"/>
        </w:rPr>
        <w:t>. 2020</w:t>
      </w:r>
      <w:r w:rsidR="009533BC" w:rsidRPr="008719F7">
        <w:rPr>
          <w:rFonts w:ascii="Arial" w:eastAsia="Calibri" w:hAnsi="Arial" w:cs="Arial"/>
          <w:color w:val="000000"/>
          <w:sz w:val="20"/>
          <w:szCs w:val="20"/>
        </w:rPr>
        <w:t xml:space="preserve"> (dále jen „Výzva“)</w:t>
      </w:r>
      <w:r w:rsidRPr="008719F7">
        <w:rPr>
          <w:rFonts w:ascii="Arial" w:eastAsia="Calibri" w:hAnsi="Arial" w:cs="Arial"/>
          <w:color w:val="000000"/>
          <w:sz w:val="20"/>
          <w:szCs w:val="20"/>
        </w:rPr>
        <w:t>;</w:t>
      </w:r>
    </w:p>
    <w:p w14:paraId="3E2D585A" w14:textId="71BE9CB2" w:rsidR="00B965B0" w:rsidRPr="008719F7" w:rsidRDefault="00B965B0" w:rsidP="00995E23">
      <w:pPr>
        <w:pStyle w:val="Odstavecseseznamem"/>
        <w:numPr>
          <w:ilvl w:val="0"/>
          <w:numId w:val="17"/>
        </w:num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Příloze č. 1 Výzvy k předkládání žádostí o dotaci </w:t>
      </w:r>
      <w:r w:rsidR="009533BC" w:rsidRPr="008719F7">
        <w:rPr>
          <w:rFonts w:ascii="Arial" w:eastAsia="Calibri" w:hAnsi="Arial" w:cs="Arial"/>
          <w:color w:val="000000"/>
          <w:sz w:val="20"/>
          <w:szCs w:val="20"/>
        </w:rPr>
        <w:t>v</w:t>
      </w:r>
      <w:r w:rsidRPr="008719F7">
        <w:rPr>
          <w:rFonts w:ascii="Arial" w:eastAsia="Calibri" w:hAnsi="Arial" w:cs="Arial"/>
          <w:color w:val="000000"/>
          <w:sz w:val="20"/>
          <w:szCs w:val="20"/>
        </w:rPr>
        <w:t xml:space="preserve"> Programu specializačního vzdělávání v oboru dětská neurologie – Metodice Programu specializačního vzdělávání v oboru dětská neurologie uveřejněné dne </w:t>
      </w:r>
      <w:proofErr w:type="spellStart"/>
      <w:r w:rsidRPr="008719F7">
        <w:rPr>
          <w:rFonts w:ascii="Arial" w:eastAsia="Calibri" w:hAnsi="Arial" w:cs="Arial"/>
          <w:color w:val="000000"/>
          <w:sz w:val="20"/>
          <w:szCs w:val="20"/>
          <w:highlight w:val="lightGray"/>
        </w:rPr>
        <w:t>xxx</w:t>
      </w:r>
      <w:proofErr w:type="spellEnd"/>
      <w:r w:rsidRPr="008719F7">
        <w:rPr>
          <w:rFonts w:ascii="Arial" w:eastAsia="Calibri" w:hAnsi="Arial" w:cs="Arial"/>
          <w:color w:val="000000"/>
          <w:sz w:val="20"/>
          <w:szCs w:val="20"/>
          <w:highlight w:val="lightGray"/>
        </w:rPr>
        <w:t xml:space="preserve">. </w:t>
      </w:r>
      <w:proofErr w:type="spellStart"/>
      <w:r w:rsidRPr="008719F7">
        <w:rPr>
          <w:rFonts w:ascii="Arial" w:eastAsia="Calibri" w:hAnsi="Arial" w:cs="Arial"/>
          <w:color w:val="000000"/>
          <w:sz w:val="20"/>
          <w:szCs w:val="20"/>
          <w:highlight w:val="lightGray"/>
        </w:rPr>
        <w:t>xxx</w:t>
      </w:r>
      <w:proofErr w:type="spellEnd"/>
      <w:r w:rsidRPr="008719F7">
        <w:rPr>
          <w:rFonts w:ascii="Arial" w:eastAsia="Calibri" w:hAnsi="Arial" w:cs="Arial"/>
          <w:color w:val="000000"/>
          <w:sz w:val="20"/>
          <w:szCs w:val="20"/>
          <w:highlight w:val="lightGray"/>
        </w:rPr>
        <w:t>. 2020</w:t>
      </w:r>
      <w:r w:rsidRPr="008719F7">
        <w:rPr>
          <w:rFonts w:ascii="Arial" w:eastAsia="Calibri" w:hAnsi="Arial" w:cs="Arial"/>
          <w:color w:val="000000"/>
          <w:sz w:val="20"/>
          <w:szCs w:val="20"/>
        </w:rPr>
        <w:t xml:space="preserve"> (dále jen „Metodika“). </w:t>
      </w:r>
    </w:p>
    <w:p w14:paraId="7418994E" w14:textId="77777777" w:rsidR="00291847" w:rsidRPr="008719F7" w:rsidRDefault="00291847" w:rsidP="005F1789">
      <w:p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Poskytovatel dotace provedl následující kroky v rámci posouzení a hodnocení Žádosti s těmito závěry: </w:t>
      </w:r>
    </w:p>
    <w:p w14:paraId="6EBE31AE" w14:textId="77777777" w:rsidR="00291847" w:rsidRPr="008719F7" w:rsidRDefault="00291847" w:rsidP="00995E23">
      <w:pPr>
        <w:pStyle w:val="Odstavecseseznamem"/>
        <w:numPr>
          <w:ilvl w:val="0"/>
          <w:numId w:val="18"/>
        </w:num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posouzení oprávněnosti Žadatele – Žádost splnila podmínky oprávněnosti Žadatele. </w:t>
      </w:r>
    </w:p>
    <w:p w14:paraId="1184D33B" w14:textId="7CA0EFA4" w:rsidR="00291847" w:rsidRPr="008719F7" w:rsidRDefault="00291847" w:rsidP="00995E23">
      <w:pPr>
        <w:pStyle w:val="Odstavecseseznamem"/>
        <w:numPr>
          <w:ilvl w:val="0"/>
          <w:numId w:val="18"/>
        </w:num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posouzení naplňování pravidel programu – Žádost naplnila pravidla </w:t>
      </w:r>
      <w:r w:rsidR="009C112A" w:rsidRPr="008719F7">
        <w:rPr>
          <w:rFonts w:ascii="Arial" w:eastAsia="Calibri" w:hAnsi="Arial" w:cs="Arial"/>
          <w:color w:val="000000"/>
          <w:sz w:val="20"/>
          <w:szCs w:val="20"/>
        </w:rPr>
        <w:t>P</w:t>
      </w:r>
      <w:r w:rsidRPr="008719F7">
        <w:rPr>
          <w:rFonts w:ascii="Arial" w:eastAsia="Calibri" w:hAnsi="Arial" w:cs="Arial"/>
          <w:color w:val="000000"/>
          <w:sz w:val="20"/>
          <w:szCs w:val="20"/>
        </w:rPr>
        <w:t>rogramu.</w:t>
      </w:r>
    </w:p>
    <w:p w14:paraId="2FA82B04" w14:textId="73ABABFE" w:rsidR="00291847" w:rsidRPr="008719F7" w:rsidRDefault="00291847" w:rsidP="00995E23">
      <w:pPr>
        <w:pStyle w:val="Odstavecseseznamem"/>
        <w:numPr>
          <w:ilvl w:val="0"/>
          <w:numId w:val="18"/>
        </w:num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odborné hodnocení – Hodnotící komise v rámci odborného hodnocení ze dne </w:t>
      </w:r>
      <w:proofErr w:type="spellStart"/>
      <w:r w:rsidR="000B30CF" w:rsidRPr="008719F7">
        <w:rPr>
          <w:rFonts w:ascii="Arial" w:eastAsia="Calibri" w:hAnsi="Arial" w:cs="Arial"/>
          <w:color w:val="000000"/>
          <w:sz w:val="20"/>
          <w:szCs w:val="20"/>
          <w:highlight w:val="lightGray"/>
        </w:rPr>
        <w:t>xxxxxxxxxx</w:t>
      </w:r>
      <w:proofErr w:type="spellEnd"/>
      <w:r w:rsidRPr="008719F7">
        <w:rPr>
          <w:rFonts w:ascii="Arial" w:eastAsia="Calibri" w:hAnsi="Arial" w:cs="Arial"/>
          <w:color w:val="000000"/>
          <w:sz w:val="20"/>
          <w:szCs w:val="20"/>
        </w:rPr>
        <w:t xml:space="preserve"> dle stanovených kritérií ohodnotila Žádost </w:t>
      </w:r>
      <w:proofErr w:type="spellStart"/>
      <w:r w:rsidRPr="008719F7">
        <w:rPr>
          <w:rFonts w:ascii="Arial" w:eastAsia="Calibri" w:hAnsi="Arial" w:cs="Arial"/>
          <w:color w:val="000000"/>
          <w:sz w:val="20"/>
          <w:szCs w:val="20"/>
          <w:highlight w:val="lightGray"/>
        </w:rPr>
        <w:t>xxxx</w:t>
      </w:r>
      <w:proofErr w:type="spellEnd"/>
      <w:r w:rsidRPr="008719F7">
        <w:rPr>
          <w:rFonts w:ascii="Arial" w:eastAsia="Calibri" w:hAnsi="Arial" w:cs="Arial"/>
          <w:color w:val="000000"/>
          <w:sz w:val="20"/>
          <w:szCs w:val="20"/>
        </w:rPr>
        <w:t xml:space="preserve"> body. </w:t>
      </w:r>
    </w:p>
    <w:p w14:paraId="61871536" w14:textId="77777777" w:rsidR="00291847" w:rsidRPr="008719F7" w:rsidRDefault="00291847" w:rsidP="005F1789">
      <w:p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 xml:space="preserve">Následně </w:t>
      </w:r>
      <w:r w:rsidRPr="008719F7">
        <w:rPr>
          <w:rFonts w:ascii="Arial" w:eastAsia="Calibri" w:hAnsi="Arial" w:cs="Arial"/>
          <w:b/>
          <w:bCs/>
          <w:color w:val="000000"/>
          <w:sz w:val="20"/>
          <w:szCs w:val="20"/>
        </w:rPr>
        <w:t xml:space="preserve">Hodnotící komise doporučila dotaci </w:t>
      </w:r>
      <w:r w:rsidRPr="008719F7">
        <w:rPr>
          <w:rFonts w:ascii="Arial" w:eastAsia="Calibri" w:hAnsi="Arial" w:cs="Arial"/>
          <w:b/>
          <w:bCs/>
          <w:color w:val="000000"/>
          <w:sz w:val="20"/>
          <w:szCs w:val="20"/>
          <w:highlight w:val="lightGray"/>
        </w:rPr>
        <w:t>zcela</w:t>
      </w:r>
      <w:r w:rsidRPr="008719F7">
        <w:rPr>
          <w:rFonts w:ascii="Arial" w:eastAsia="Calibri" w:hAnsi="Arial" w:cs="Arial"/>
          <w:b/>
          <w:bCs/>
          <w:color w:val="000000"/>
          <w:sz w:val="20"/>
          <w:szCs w:val="20"/>
        </w:rPr>
        <w:t xml:space="preserve"> poskytnout</w:t>
      </w:r>
      <w:r w:rsidRPr="008719F7">
        <w:rPr>
          <w:rFonts w:ascii="Arial" w:eastAsia="Calibri" w:hAnsi="Arial" w:cs="Arial"/>
          <w:color w:val="000000"/>
          <w:sz w:val="20"/>
          <w:szCs w:val="20"/>
        </w:rPr>
        <w:t xml:space="preserve">. Žadatel následně doložil na základě výzvy dle § 14k odst. 3 Rozpočtových pravidel podklady nutné pro vydání Rozhodnutí o poskytnutí dotace. </w:t>
      </w:r>
    </w:p>
    <w:p w14:paraId="1645B3E1" w14:textId="77777777" w:rsidR="00291847" w:rsidRPr="008719F7" w:rsidRDefault="00291847" w:rsidP="005F1789">
      <w:pPr>
        <w:pBdr>
          <w:top w:val="nil"/>
          <w:left w:val="nil"/>
          <w:bottom w:val="nil"/>
          <w:right w:val="nil"/>
          <w:between w:val="nil"/>
        </w:pBdr>
        <w:spacing w:after="120" w:line="276" w:lineRule="auto"/>
        <w:rPr>
          <w:rFonts w:ascii="Arial" w:eastAsia="Calibri" w:hAnsi="Arial" w:cs="Arial"/>
          <w:b/>
          <w:bCs/>
          <w:color w:val="000000"/>
          <w:sz w:val="20"/>
          <w:szCs w:val="20"/>
        </w:rPr>
      </w:pPr>
      <w:r w:rsidRPr="008719F7">
        <w:rPr>
          <w:rFonts w:ascii="Arial" w:eastAsia="Calibri" w:hAnsi="Arial" w:cs="Arial"/>
          <w:b/>
          <w:bCs/>
          <w:color w:val="000000"/>
          <w:sz w:val="20"/>
          <w:szCs w:val="20"/>
        </w:rPr>
        <w:t xml:space="preserve">Podmínky pro schválení Žádosti o dotaci dané Výzvou a Metodikou byly splněny. </w:t>
      </w:r>
    </w:p>
    <w:p w14:paraId="0B126A80" w14:textId="77777777" w:rsidR="00291847" w:rsidRPr="008719F7" w:rsidRDefault="00291847" w:rsidP="005F1789">
      <w:pPr>
        <w:pBdr>
          <w:top w:val="nil"/>
          <w:left w:val="nil"/>
          <w:bottom w:val="nil"/>
          <w:right w:val="nil"/>
          <w:between w:val="nil"/>
        </w:pBdr>
        <w:spacing w:after="120" w:line="276" w:lineRule="auto"/>
        <w:rPr>
          <w:rFonts w:ascii="Arial" w:eastAsia="Calibri" w:hAnsi="Arial" w:cs="Arial"/>
          <w:color w:val="000000"/>
          <w:sz w:val="20"/>
          <w:szCs w:val="20"/>
        </w:rPr>
      </w:pPr>
      <w:r w:rsidRPr="008719F7">
        <w:rPr>
          <w:rFonts w:ascii="Arial" w:eastAsia="Calibri" w:hAnsi="Arial" w:cs="Arial"/>
          <w:color w:val="000000"/>
          <w:sz w:val="20"/>
          <w:szCs w:val="20"/>
        </w:rPr>
        <w:t>Z výše uvedených důvodů tak bylo rozhodnuto, jak je uvedeno ve výroku tohoto Rozhodnutí. Vzhledem k tomu, že Žadateli o dotaci bylo plně vyhověno, není třeba podle § 68 odst. 4 Správního řádu podrobnějšího odůvodnění.</w:t>
      </w:r>
    </w:p>
    <w:p w14:paraId="722272D7" w14:textId="77777777" w:rsidR="00CF47FF" w:rsidRPr="008719F7" w:rsidRDefault="00CF47FF" w:rsidP="005F1789">
      <w:pPr>
        <w:pBdr>
          <w:top w:val="nil"/>
          <w:left w:val="nil"/>
          <w:bottom w:val="nil"/>
          <w:right w:val="nil"/>
          <w:between w:val="nil"/>
        </w:pBdr>
        <w:spacing w:after="120" w:line="276" w:lineRule="auto"/>
        <w:rPr>
          <w:rFonts w:ascii="Arial" w:eastAsia="Calibri" w:hAnsi="Arial" w:cs="Arial"/>
          <w:color w:val="000000"/>
          <w:sz w:val="20"/>
          <w:szCs w:val="20"/>
        </w:rPr>
      </w:pPr>
    </w:p>
    <w:p w14:paraId="4A47DFA8" w14:textId="77777777" w:rsidR="00CF47FF" w:rsidRPr="008719F7" w:rsidRDefault="00CF47FF" w:rsidP="006F7D4C">
      <w:pPr>
        <w:keepNext/>
        <w:keepLines/>
        <w:spacing w:after="120" w:line="276" w:lineRule="auto"/>
        <w:jc w:val="center"/>
        <w:rPr>
          <w:rFonts w:ascii="Arial" w:hAnsi="Arial" w:cs="Arial"/>
          <w:b/>
          <w:sz w:val="20"/>
          <w:szCs w:val="20"/>
        </w:rPr>
      </w:pPr>
      <w:r w:rsidRPr="008719F7">
        <w:rPr>
          <w:rFonts w:ascii="Arial" w:eastAsia="Calibri" w:hAnsi="Arial" w:cs="Arial"/>
          <w:b/>
          <w:sz w:val="20"/>
          <w:szCs w:val="20"/>
        </w:rPr>
        <w:t>POUČENÍ</w:t>
      </w:r>
    </w:p>
    <w:p w14:paraId="62A68FC8" w14:textId="21AB8548" w:rsidR="00291847" w:rsidRPr="008719F7" w:rsidRDefault="00291847" w:rsidP="00291847">
      <w:pPr>
        <w:rPr>
          <w:rFonts w:ascii="Arial" w:eastAsia="Times New Roman" w:hAnsi="Arial" w:cs="Arial"/>
          <w:color w:val="00000A"/>
          <w:sz w:val="20"/>
          <w:szCs w:val="20"/>
        </w:rPr>
      </w:pPr>
      <w:r w:rsidRPr="008719F7">
        <w:rPr>
          <w:rFonts w:ascii="Arial" w:eastAsia="Times New Roman" w:hAnsi="Arial" w:cs="Arial"/>
          <w:color w:val="00000A"/>
          <w:sz w:val="20"/>
          <w:szCs w:val="20"/>
        </w:rPr>
        <w:t>Proti Rozhodnutí Poskytovatele</w:t>
      </w:r>
      <w:r w:rsidR="009533BC" w:rsidRPr="008719F7">
        <w:rPr>
          <w:rFonts w:ascii="Arial" w:eastAsia="Times New Roman" w:hAnsi="Arial" w:cs="Arial"/>
          <w:color w:val="00000A"/>
          <w:sz w:val="20"/>
          <w:szCs w:val="20"/>
        </w:rPr>
        <w:t xml:space="preserve"> dotace</w:t>
      </w:r>
      <w:r w:rsidRPr="008719F7">
        <w:rPr>
          <w:rFonts w:ascii="Arial" w:eastAsia="Times New Roman" w:hAnsi="Arial" w:cs="Arial"/>
          <w:color w:val="00000A"/>
          <w:sz w:val="20"/>
          <w:szCs w:val="20"/>
        </w:rPr>
        <w:t xml:space="preserve"> není podle § 14q odst. 2 Rozpočtových pravidel přípustný rozklad. </w:t>
      </w:r>
    </w:p>
    <w:p w14:paraId="181444F2" w14:textId="77777777" w:rsidR="00CF47FF" w:rsidRPr="008719F7" w:rsidRDefault="00CF47FF" w:rsidP="000948B4">
      <w:pPr>
        <w:spacing w:after="120" w:line="276" w:lineRule="auto"/>
        <w:jc w:val="center"/>
        <w:rPr>
          <w:rFonts w:ascii="Arial" w:eastAsia="Calibri" w:hAnsi="Arial" w:cs="Arial"/>
          <w:b/>
          <w:sz w:val="20"/>
          <w:szCs w:val="20"/>
        </w:rPr>
      </w:pPr>
    </w:p>
    <w:p w14:paraId="5CBDD534" w14:textId="77777777" w:rsidR="00CF47FF" w:rsidRPr="008719F7" w:rsidRDefault="00CF47FF" w:rsidP="000948B4">
      <w:pPr>
        <w:autoSpaceDE w:val="0"/>
        <w:autoSpaceDN w:val="0"/>
        <w:adjustRightInd w:val="0"/>
        <w:spacing w:after="120" w:line="276" w:lineRule="auto"/>
        <w:jc w:val="left"/>
        <w:rPr>
          <w:rFonts w:ascii="Arial" w:eastAsia="Calibri" w:hAnsi="Arial" w:cs="Arial"/>
          <w:color w:val="000000"/>
          <w:sz w:val="20"/>
          <w:szCs w:val="20"/>
        </w:rPr>
      </w:pPr>
      <w:r w:rsidRPr="008719F7">
        <w:rPr>
          <w:rFonts w:ascii="Arial" w:eastAsia="Calibri" w:hAnsi="Arial" w:cs="Arial"/>
          <w:color w:val="000000"/>
          <w:sz w:val="20"/>
          <w:szCs w:val="20"/>
        </w:rPr>
        <w:t>V Praze dne ………………</w:t>
      </w:r>
    </w:p>
    <w:p w14:paraId="659559DC" w14:textId="77777777" w:rsidR="00CF47FF" w:rsidRPr="008719F7" w:rsidRDefault="00CF47FF" w:rsidP="000948B4">
      <w:pPr>
        <w:spacing w:after="120" w:line="276" w:lineRule="auto"/>
        <w:ind w:left="4248" w:firstLine="708"/>
        <w:jc w:val="center"/>
        <w:rPr>
          <w:rFonts w:ascii="Arial" w:eastAsia="Calibri" w:hAnsi="Arial" w:cs="Arial"/>
          <w:color w:val="000000"/>
          <w:sz w:val="20"/>
          <w:szCs w:val="20"/>
        </w:rPr>
      </w:pPr>
      <w:r w:rsidRPr="008719F7">
        <w:rPr>
          <w:rFonts w:ascii="Arial" w:eastAsia="Calibri" w:hAnsi="Arial" w:cs="Arial"/>
          <w:color w:val="000000"/>
          <w:sz w:val="20"/>
          <w:szCs w:val="20"/>
        </w:rPr>
        <w:t>………………………………</w:t>
      </w:r>
    </w:p>
    <w:p w14:paraId="2DA5433C" w14:textId="77777777" w:rsidR="00CF47FF" w:rsidRPr="008719F7" w:rsidRDefault="00CF47FF" w:rsidP="000948B4">
      <w:pPr>
        <w:pStyle w:val="Bezmezer"/>
        <w:spacing w:after="120" w:line="276" w:lineRule="auto"/>
        <w:ind w:left="4956" w:firstLine="708"/>
        <w:rPr>
          <w:rFonts w:ascii="Arial" w:hAnsi="Arial" w:cs="Arial"/>
          <w:sz w:val="20"/>
          <w:szCs w:val="20"/>
        </w:rPr>
      </w:pPr>
      <w:r w:rsidRPr="008719F7">
        <w:rPr>
          <w:rFonts w:ascii="Arial" w:hAnsi="Arial" w:cs="Arial"/>
          <w:sz w:val="20"/>
          <w:szCs w:val="20"/>
        </w:rPr>
        <w:t xml:space="preserve">       Ing. Jan Michálek,</w:t>
      </w:r>
    </w:p>
    <w:p w14:paraId="7DBEEFCA" w14:textId="41342E5A" w:rsidR="004026EC" w:rsidRPr="008719F7" w:rsidRDefault="00CF47FF" w:rsidP="000948B4">
      <w:pPr>
        <w:pStyle w:val="Bezmezer"/>
        <w:spacing w:after="120" w:line="276" w:lineRule="auto"/>
        <w:ind w:left="4248" w:firstLine="708"/>
        <w:rPr>
          <w:rFonts w:ascii="Arial" w:hAnsi="Arial" w:cs="Arial"/>
          <w:sz w:val="20"/>
          <w:szCs w:val="20"/>
        </w:rPr>
        <w:sectPr w:rsidR="004026EC" w:rsidRPr="008719F7" w:rsidSect="002D5521">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r w:rsidRPr="008719F7">
        <w:rPr>
          <w:rFonts w:ascii="Arial" w:hAnsi="Arial" w:cs="Arial"/>
          <w:sz w:val="20"/>
          <w:szCs w:val="20"/>
        </w:rPr>
        <w:t>ředitel odboru přímo řízených organizací</w:t>
      </w:r>
    </w:p>
    <w:p w14:paraId="49362334" w14:textId="2E993147" w:rsidR="00911A50" w:rsidRPr="008719F7" w:rsidRDefault="00911A50" w:rsidP="000948B4">
      <w:pPr>
        <w:spacing w:after="120" w:line="276" w:lineRule="auto"/>
        <w:rPr>
          <w:rFonts w:ascii="Arial" w:eastAsia="Calibri" w:hAnsi="Arial" w:cs="Arial"/>
          <w:b/>
          <w:color w:val="000000"/>
          <w:sz w:val="20"/>
          <w:szCs w:val="20"/>
        </w:rPr>
      </w:pPr>
      <w:r w:rsidRPr="008719F7">
        <w:rPr>
          <w:rFonts w:ascii="Arial" w:eastAsia="Calibri" w:hAnsi="Arial" w:cs="Arial"/>
          <w:b/>
          <w:color w:val="000000"/>
          <w:sz w:val="20"/>
          <w:szCs w:val="20"/>
        </w:rPr>
        <w:lastRenderedPageBreak/>
        <w:t>Příloha č. 1</w:t>
      </w:r>
      <w:r w:rsidR="00A2179D" w:rsidRPr="008719F7">
        <w:rPr>
          <w:rFonts w:ascii="Arial" w:eastAsia="Calibri" w:hAnsi="Arial" w:cs="Arial"/>
          <w:b/>
          <w:color w:val="000000"/>
          <w:sz w:val="20"/>
          <w:szCs w:val="20"/>
        </w:rPr>
        <w:t xml:space="preserve"> Údaje k </w:t>
      </w:r>
      <w:r w:rsidR="00304CCB" w:rsidRPr="008719F7">
        <w:rPr>
          <w:rFonts w:ascii="Arial" w:eastAsia="Calibri" w:hAnsi="Arial" w:cs="Arial"/>
          <w:b/>
          <w:color w:val="000000"/>
          <w:sz w:val="20"/>
          <w:szCs w:val="20"/>
        </w:rPr>
        <w:t>účastníku</w:t>
      </w:r>
      <w:r w:rsidR="00A2179D" w:rsidRPr="008719F7">
        <w:rPr>
          <w:rFonts w:ascii="Arial" w:eastAsia="Calibri" w:hAnsi="Arial" w:cs="Arial"/>
          <w:b/>
          <w:color w:val="000000"/>
          <w:sz w:val="20"/>
          <w:szCs w:val="20"/>
        </w:rPr>
        <w:t xml:space="preserve"> </w:t>
      </w:r>
      <w:r w:rsidR="005B74BF" w:rsidRPr="008719F7">
        <w:rPr>
          <w:rFonts w:ascii="Arial" w:eastAsia="Calibri" w:hAnsi="Arial" w:cs="Arial"/>
          <w:b/>
          <w:color w:val="000000"/>
          <w:sz w:val="20"/>
          <w:szCs w:val="20"/>
        </w:rPr>
        <w:t>zapojeného do Projektu</w:t>
      </w:r>
    </w:p>
    <w:tbl>
      <w:tblPr>
        <w:tblStyle w:val="Mkatabulky"/>
        <w:tblW w:w="9072" w:type="dxa"/>
        <w:tblInd w:w="98" w:type="dxa"/>
        <w:tblCellMar>
          <w:left w:w="98" w:type="dxa"/>
        </w:tblCellMar>
        <w:tblLook w:val="04A0" w:firstRow="1" w:lastRow="0" w:firstColumn="1" w:lastColumn="0" w:noHBand="0" w:noVBand="1"/>
      </w:tblPr>
      <w:tblGrid>
        <w:gridCol w:w="2307"/>
        <w:gridCol w:w="1701"/>
        <w:gridCol w:w="5064"/>
      </w:tblGrid>
      <w:tr w:rsidR="00551707" w:rsidRPr="008719F7" w14:paraId="53A7F2CA" w14:textId="77777777" w:rsidTr="00032773">
        <w:trPr>
          <w:trHeight w:val="828"/>
        </w:trPr>
        <w:tc>
          <w:tcPr>
            <w:tcW w:w="2307" w:type="dxa"/>
            <w:shd w:val="clear" w:color="auto" w:fill="auto"/>
            <w:tcMar>
              <w:left w:w="98" w:type="dxa"/>
            </w:tcMar>
            <w:vAlign w:val="center"/>
          </w:tcPr>
          <w:p w14:paraId="40366FBE" w14:textId="7D3B2E4F" w:rsidR="00551707" w:rsidRPr="008719F7" w:rsidRDefault="00551707" w:rsidP="000948B4">
            <w:pPr>
              <w:spacing w:after="120" w:line="276" w:lineRule="auto"/>
              <w:jc w:val="center"/>
              <w:outlineLvl w:val="0"/>
              <w:rPr>
                <w:rFonts w:ascii="Arial" w:eastAsia="Calibri" w:hAnsi="Arial" w:cs="Arial"/>
                <w:b/>
                <w:bCs/>
                <w:color w:val="000000"/>
                <w:sz w:val="20"/>
                <w:szCs w:val="20"/>
              </w:rPr>
            </w:pPr>
            <w:r w:rsidRPr="008719F7">
              <w:rPr>
                <w:rFonts w:ascii="Arial" w:eastAsia="Calibri" w:hAnsi="Arial" w:cs="Arial"/>
                <w:b/>
                <w:bCs/>
                <w:color w:val="000000"/>
                <w:sz w:val="20"/>
                <w:szCs w:val="20"/>
              </w:rPr>
              <w:t>Jméno a příjmení</w:t>
            </w:r>
            <w:r w:rsidR="007833ED" w:rsidRPr="008719F7">
              <w:rPr>
                <w:rFonts w:ascii="Arial" w:eastAsia="Calibri" w:hAnsi="Arial" w:cs="Arial"/>
                <w:b/>
                <w:bCs/>
                <w:color w:val="000000"/>
                <w:sz w:val="20"/>
                <w:szCs w:val="20"/>
              </w:rPr>
              <w:t xml:space="preserve"> </w:t>
            </w:r>
            <w:r w:rsidR="00304CCB" w:rsidRPr="008719F7">
              <w:rPr>
                <w:rFonts w:ascii="Arial" w:eastAsia="Calibri" w:hAnsi="Arial" w:cs="Arial"/>
                <w:b/>
                <w:bCs/>
                <w:color w:val="000000"/>
                <w:sz w:val="20"/>
                <w:szCs w:val="20"/>
              </w:rPr>
              <w:t>účastníka</w:t>
            </w:r>
            <w:r w:rsidR="007833ED" w:rsidRPr="008719F7">
              <w:rPr>
                <w:rFonts w:ascii="Arial" w:eastAsia="Calibri" w:hAnsi="Arial" w:cs="Arial"/>
                <w:b/>
                <w:bCs/>
                <w:color w:val="000000"/>
                <w:sz w:val="20"/>
                <w:szCs w:val="20"/>
              </w:rPr>
              <w:t xml:space="preserve"> </w:t>
            </w:r>
          </w:p>
        </w:tc>
        <w:tc>
          <w:tcPr>
            <w:tcW w:w="1701" w:type="dxa"/>
            <w:tcBorders>
              <w:left w:val="nil"/>
              <w:right w:val="nil"/>
            </w:tcBorders>
            <w:shd w:val="clear" w:color="auto" w:fill="auto"/>
            <w:vAlign w:val="center"/>
          </w:tcPr>
          <w:p w14:paraId="03699109" w14:textId="77777777" w:rsidR="00551707" w:rsidRPr="008719F7" w:rsidRDefault="00551707" w:rsidP="000948B4">
            <w:pPr>
              <w:spacing w:after="120" w:line="276" w:lineRule="auto"/>
              <w:jc w:val="center"/>
              <w:outlineLvl w:val="0"/>
              <w:rPr>
                <w:rFonts w:ascii="Arial" w:eastAsia="Calibri" w:hAnsi="Arial" w:cs="Arial"/>
                <w:b/>
                <w:bCs/>
                <w:color w:val="000000"/>
                <w:sz w:val="20"/>
                <w:szCs w:val="20"/>
              </w:rPr>
            </w:pPr>
            <w:r w:rsidRPr="008719F7">
              <w:rPr>
                <w:rFonts w:ascii="Arial" w:eastAsia="Calibri" w:hAnsi="Arial" w:cs="Arial"/>
                <w:b/>
                <w:bCs/>
                <w:color w:val="000000"/>
                <w:sz w:val="20"/>
                <w:szCs w:val="20"/>
              </w:rPr>
              <w:t>Datum narození</w:t>
            </w:r>
          </w:p>
        </w:tc>
        <w:tc>
          <w:tcPr>
            <w:tcW w:w="5064" w:type="dxa"/>
            <w:shd w:val="clear" w:color="auto" w:fill="auto"/>
            <w:tcMar>
              <w:left w:w="98" w:type="dxa"/>
            </w:tcMar>
            <w:vAlign w:val="center"/>
          </w:tcPr>
          <w:p w14:paraId="03EDC4EA" w14:textId="77777777" w:rsidR="00551707" w:rsidRPr="008719F7" w:rsidRDefault="00551707" w:rsidP="000948B4">
            <w:pPr>
              <w:spacing w:after="120" w:line="276" w:lineRule="auto"/>
              <w:jc w:val="center"/>
              <w:outlineLvl w:val="0"/>
              <w:rPr>
                <w:rFonts w:ascii="Arial" w:hAnsi="Arial" w:cs="Arial"/>
                <w:b/>
                <w:bCs/>
                <w:sz w:val="20"/>
                <w:szCs w:val="20"/>
              </w:rPr>
            </w:pPr>
            <w:r w:rsidRPr="008719F7">
              <w:rPr>
                <w:rFonts w:ascii="Arial" w:eastAsia="Calibri" w:hAnsi="Arial" w:cs="Arial"/>
                <w:b/>
                <w:bCs/>
                <w:color w:val="000000"/>
                <w:sz w:val="20"/>
                <w:szCs w:val="20"/>
              </w:rPr>
              <w:t>Název vzdělávacího programu, rok zveřejnění ve Věstníku Ministerstva zdravotnictví ČR</w:t>
            </w:r>
          </w:p>
        </w:tc>
      </w:tr>
      <w:tr w:rsidR="00551707" w:rsidRPr="008719F7" w14:paraId="7732FFC2" w14:textId="77777777" w:rsidTr="00032773">
        <w:tc>
          <w:tcPr>
            <w:tcW w:w="2307" w:type="dxa"/>
            <w:shd w:val="clear" w:color="auto" w:fill="auto"/>
            <w:tcMar>
              <w:left w:w="98" w:type="dxa"/>
            </w:tcMar>
            <w:vAlign w:val="center"/>
          </w:tcPr>
          <w:p w14:paraId="6D1A088C" w14:textId="644B4C45" w:rsidR="00551707" w:rsidRPr="008719F7" w:rsidRDefault="005323B6" w:rsidP="000948B4">
            <w:pPr>
              <w:spacing w:after="120" w:line="276" w:lineRule="auto"/>
              <w:rPr>
                <w:rFonts w:ascii="Arial" w:hAnsi="Arial" w:cs="Arial"/>
                <w:color w:val="000000"/>
                <w:sz w:val="20"/>
                <w:szCs w:val="20"/>
                <w:highlight w:val="lightGray"/>
              </w:rPr>
            </w:pPr>
            <w:r w:rsidRPr="008719F7">
              <w:rPr>
                <w:rFonts w:ascii="Arial" w:hAnsi="Arial" w:cs="Arial"/>
                <w:bCs/>
                <w:sz w:val="20"/>
                <w:szCs w:val="20"/>
                <w:highlight w:val="lightGray"/>
              </w:rPr>
              <w:t xml:space="preserve">MUDr. </w:t>
            </w:r>
            <w:proofErr w:type="spellStart"/>
            <w:r w:rsidR="00E56845" w:rsidRPr="008719F7">
              <w:rPr>
                <w:rFonts w:ascii="Arial" w:hAnsi="Arial" w:cs="Arial"/>
                <w:bCs/>
                <w:sz w:val="20"/>
                <w:szCs w:val="20"/>
                <w:highlight w:val="lightGray"/>
              </w:rPr>
              <w:t>xxxxx</w:t>
            </w:r>
            <w:proofErr w:type="spellEnd"/>
          </w:p>
        </w:tc>
        <w:tc>
          <w:tcPr>
            <w:tcW w:w="1701" w:type="dxa"/>
            <w:tcBorders>
              <w:left w:val="nil"/>
              <w:right w:val="nil"/>
            </w:tcBorders>
            <w:shd w:val="clear" w:color="auto" w:fill="auto"/>
            <w:vAlign w:val="center"/>
          </w:tcPr>
          <w:p w14:paraId="1AC6C28C" w14:textId="468262C4" w:rsidR="00551707" w:rsidRPr="008719F7" w:rsidRDefault="00E56845" w:rsidP="000948B4">
            <w:pPr>
              <w:spacing w:after="120" w:line="276" w:lineRule="auto"/>
              <w:outlineLvl w:val="0"/>
              <w:rPr>
                <w:rFonts w:ascii="Arial" w:hAnsi="Arial" w:cs="Arial"/>
                <w:color w:val="000000"/>
                <w:sz w:val="20"/>
                <w:szCs w:val="20"/>
                <w:highlight w:val="lightGray"/>
              </w:rPr>
            </w:pPr>
            <w:proofErr w:type="spellStart"/>
            <w:r w:rsidRPr="008719F7">
              <w:rPr>
                <w:rFonts w:ascii="Arial" w:hAnsi="Arial" w:cs="Arial"/>
                <w:bCs/>
                <w:sz w:val="20"/>
                <w:szCs w:val="20"/>
                <w:highlight w:val="lightGray"/>
              </w:rPr>
              <w:t>xxxxxxxxxx</w:t>
            </w:r>
            <w:proofErr w:type="spellEnd"/>
          </w:p>
        </w:tc>
        <w:tc>
          <w:tcPr>
            <w:tcW w:w="5064" w:type="dxa"/>
            <w:shd w:val="clear" w:color="auto" w:fill="auto"/>
            <w:tcMar>
              <w:left w:w="98" w:type="dxa"/>
            </w:tcMar>
            <w:vAlign w:val="center"/>
          </w:tcPr>
          <w:p w14:paraId="6FEA6F97" w14:textId="77777777" w:rsidR="0060750A" w:rsidRPr="008719F7" w:rsidRDefault="0060750A" w:rsidP="0060750A">
            <w:pPr>
              <w:spacing w:after="120" w:line="276" w:lineRule="auto"/>
              <w:jc w:val="left"/>
              <w:outlineLvl w:val="0"/>
              <w:rPr>
                <w:rFonts w:ascii="Arial" w:eastAsia="Calibri" w:hAnsi="Arial" w:cs="Arial"/>
                <w:sz w:val="20"/>
                <w:szCs w:val="20"/>
                <w:highlight w:val="lightGray"/>
              </w:rPr>
            </w:pPr>
            <w:r w:rsidRPr="008719F7">
              <w:rPr>
                <w:rFonts w:ascii="Arial" w:eastAsia="Calibri" w:hAnsi="Arial" w:cs="Arial"/>
                <w:sz w:val="20"/>
                <w:szCs w:val="20"/>
                <w:highlight w:val="lightGray"/>
              </w:rPr>
              <w:t>Vzdělávací program oboru Dětská neurologie, 2015</w:t>
            </w:r>
          </w:p>
          <w:p w14:paraId="0FC7D950" w14:textId="77777777" w:rsidR="0060750A" w:rsidRPr="008719F7" w:rsidRDefault="0060750A" w:rsidP="0060750A">
            <w:pPr>
              <w:spacing w:after="120" w:line="276" w:lineRule="auto"/>
              <w:jc w:val="left"/>
              <w:outlineLvl w:val="0"/>
              <w:rPr>
                <w:rFonts w:ascii="Arial" w:eastAsia="Calibri" w:hAnsi="Arial" w:cs="Arial"/>
                <w:sz w:val="20"/>
                <w:szCs w:val="20"/>
                <w:highlight w:val="lightGray"/>
              </w:rPr>
            </w:pPr>
            <w:r w:rsidRPr="008719F7">
              <w:rPr>
                <w:rFonts w:ascii="Arial" w:eastAsia="Calibri" w:hAnsi="Arial" w:cs="Arial"/>
                <w:sz w:val="20"/>
                <w:szCs w:val="20"/>
                <w:highlight w:val="lightGray"/>
              </w:rPr>
              <w:t>NEBO</w:t>
            </w:r>
          </w:p>
          <w:p w14:paraId="562226B0" w14:textId="288783F2" w:rsidR="0060750A" w:rsidRPr="008719F7" w:rsidRDefault="0060750A" w:rsidP="0060750A">
            <w:pPr>
              <w:spacing w:after="120" w:line="276" w:lineRule="auto"/>
              <w:jc w:val="left"/>
              <w:outlineLvl w:val="0"/>
              <w:rPr>
                <w:rFonts w:ascii="Arial" w:hAnsi="Arial" w:cs="Arial"/>
                <w:color w:val="000000"/>
                <w:sz w:val="20"/>
                <w:szCs w:val="20"/>
                <w:highlight w:val="lightGray"/>
              </w:rPr>
            </w:pPr>
            <w:r w:rsidRPr="008719F7">
              <w:rPr>
                <w:rFonts w:ascii="Arial" w:eastAsia="Calibri" w:hAnsi="Arial" w:cs="Arial"/>
                <w:sz w:val="20"/>
                <w:szCs w:val="20"/>
                <w:highlight w:val="lightGray"/>
              </w:rPr>
              <w:t>Vzdělávací program specializačního oboru dětská neurologie – vlastní specializovaný výcvik, 2018</w:t>
            </w:r>
          </w:p>
        </w:tc>
      </w:tr>
    </w:tbl>
    <w:p w14:paraId="201D0A36" w14:textId="681D4B54" w:rsidR="00F91029" w:rsidRPr="008719F7" w:rsidRDefault="00F91029" w:rsidP="000948B4">
      <w:pPr>
        <w:spacing w:after="120" w:line="276" w:lineRule="auto"/>
        <w:jc w:val="left"/>
        <w:rPr>
          <w:rFonts w:ascii="Arial" w:eastAsia="Calibri" w:hAnsi="Arial" w:cs="Arial"/>
          <w:b/>
          <w:color w:val="000000"/>
          <w:sz w:val="20"/>
          <w:szCs w:val="20"/>
        </w:rPr>
      </w:pPr>
    </w:p>
    <w:p w14:paraId="46DFC7A2" w14:textId="52DE5B83" w:rsidR="007833ED" w:rsidRPr="008719F7" w:rsidRDefault="007833ED" w:rsidP="000948B4">
      <w:pPr>
        <w:spacing w:after="120" w:line="276" w:lineRule="auto"/>
        <w:jc w:val="left"/>
        <w:rPr>
          <w:rFonts w:ascii="Arial" w:eastAsia="Calibri" w:hAnsi="Arial" w:cs="Arial"/>
          <w:b/>
          <w:color w:val="000000"/>
          <w:sz w:val="20"/>
          <w:szCs w:val="20"/>
        </w:rPr>
      </w:pPr>
      <w:r w:rsidRPr="008719F7">
        <w:rPr>
          <w:rFonts w:ascii="Arial" w:eastAsia="Calibri" w:hAnsi="Arial" w:cs="Arial"/>
          <w:b/>
          <w:color w:val="000000"/>
          <w:sz w:val="20"/>
          <w:szCs w:val="20"/>
        </w:rPr>
        <w:t xml:space="preserve">Individuální vzdělávací plán </w:t>
      </w:r>
      <w:r w:rsidR="00304CCB" w:rsidRPr="008719F7">
        <w:rPr>
          <w:rFonts w:ascii="Arial" w:eastAsia="Calibri" w:hAnsi="Arial" w:cs="Arial"/>
          <w:b/>
          <w:color w:val="000000"/>
          <w:sz w:val="20"/>
          <w:szCs w:val="20"/>
        </w:rPr>
        <w:t>účastníka</w:t>
      </w:r>
      <w:r w:rsidRPr="008719F7">
        <w:rPr>
          <w:rFonts w:ascii="Arial" w:eastAsia="Calibri" w:hAnsi="Arial" w:cs="Arial"/>
          <w:b/>
          <w:color w:val="000000"/>
          <w:sz w:val="20"/>
          <w:szCs w:val="20"/>
        </w:rPr>
        <w:t xml:space="preserve"> </w:t>
      </w:r>
    </w:p>
    <w:tbl>
      <w:tblPr>
        <w:tblW w:w="9128" w:type="dxa"/>
        <w:tblInd w:w="-10" w:type="dxa"/>
        <w:tblCellMar>
          <w:left w:w="70" w:type="dxa"/>
          <w:right w:w="70" w:type="dxa"/>
        </w:tblCellMar>
        <w:tblLook w:val="04A0" w:firstRow="1" w:lastRow="0" w:firstColumn="1" w:lastColumn="0" w:noHBand="0" w:noVBand="1"/>
      </w:tblPr>
      <w:tblGrid>
        <w:gridCol w:w="6051"/>
        <w:gridCol w:w="1330"/>
        <w:gridCol w:w="1747"/>
      </w:tblGrid>
      <w:tr w:rsidR="000C163D" w:rsidRPr="008719F7" w14:paraId="0A26CAE6" w14:textId="77777777" w:rsidTr="00032773">
        <w:trPr>
          <w:trHeight w:val="708"/>
        </w:trPr>
        <w:tc>
          <w:tcPr>
            <w:tcW w:w="6074"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E895024" w14:textId="0ABFD5BF" w:rsidR="000C163D" w:rsidRPr="008719F7" w:rsidRDefault="000C163D" w:rsidP="00032773">
            <w:pPr>
              <w:spacing w:before="120" w:after="120"/>
              <w:jc w:val="left"/>
              <w:rPr>
                <w:rFonts w:ascii="Arial" w:eastAsia="Times New Roman" w:hAnsi="Arial" w:cs="Arial"/>
                <w:b/>
                <w:bCs/>
                <w:color w:val="000000"/>
                <w:sz w:val="20"/>
                <w:szCs w:val="20"/>
              </w:rPr>
            </w:pPr>
            <w:r w:rsidRPr="008719F7">
              <w:rPr>
                <w:rFonts w:ascii="Arial" w:eastAsia="Times New Roman" w:hAnsi="Arial" w:cs="Arial"/>
                <w:b/>
                <w:bCs/>
                <w:color w:val="000000"/>
                <w:sz w:val="20"/>
                <w:szCs w:val="20"/>
              </w:rPr>
              <w:t xml:space="preserve">Název klíčové aktivity </w:t>
            </w:r>
            <w:r w:rsidR="009533BC" w:rsidRPr="008719F7">
              <w:rPr>
                <w:rFonts w:ascii="Arial" w:eastAsia="Times New Roman" w:hAnsi="Arial" w:cs="Arial"/>
                <w:b/>
                <w:bCs/>
                <w:color w:val="000000"/>
                <w:sz w:val="20"/>
                <w:szCs w:val="20"/>
              </w:rPr>
              <w:t xml:space="preserve">(KA) </w:t>
            </w:r>
            <w:r w:rsidRPr="008719F7">
              <w:rPr>
                <w:rFonts w:ascii="Arial" w:eastAsia="Times New Roman" w:hAnsi="Arial" w:cs="Arial"/>
                <w:b/>
                <w:bCs/>
                <w:color w:val="000000"/>
                <w:sz w:val="20"/>
                <w:szCs w:val="20"/>
              </w:rPr>
              <w:t>v Projektu</w:t>
            </w:r>
          </w:p>
        </w:tc>
        <w:tc>
          <w:tcPr>
            <w:tcW w:w="1302" w:type="dxa"/>
            <w:tcBorders>
              <w:top w:val="single" w:sz="8" w:space="0" w:color="auto"/>
              <w:left w:val="nil"/>
              <w:bottom w:val="single" w:sz="4" w:space="0" w:color="auto"/>
              <w:right w:val="single" w:sz="4" w:space="0" w:color="auto"/>
            </w:tcBorders>
            <w:shd w:val="clear" w:color="000000" w:fill="D0CECE"/>
            <w:vAlign w:val="center"/>
            <w:hideMark/>
          </w:tcPr>
          <w:p w14:paraId="24D469E5" w14:textId="200D743D" w:rsidR="000C163D" w:rsidRPr="008719F7" w:rsidRDefault="00D9750F" w:rsidP="00032773">
            <w:pPr>
              <w:spacing w:before="120" w:after="120"/>
              <w:jc w:val="center"/>
              <w:rPr>
                <w:rFonts w:ascii="Arial" w:eastAsia="Times New Roman" w:hAnsi="Arial" w:cs="Arial"/>
                <w:b/>
                <w:bCs/>
                <w:color w:val="000000"/>
                <w:sz w:val="20"/>
                <w:szCs w:val="20"/>
              </w:rPr>
            </w:pPr>
            <w:r w:rsidRPr="008719F7">
              <w:rPr>
                <w:rFonts w:ascii="Arial" w:eastAsia="Times New Roman" w:hAnsi="Arial" w:cs="Arial"/>
                <w:b/>
                <w:bCs/>
                <w:color w:val="000000"/>
                <w:sz w:val="20"/>
                <w:szCs w:val="20"/>
              </w:rPr>
              <w:t>Absolvování z dotace</w:t>
            </w:r>
          </w:p>
        </w:tc>
        <w:tc>
          <w:tcPr>
            <w:tcW w:w="1752" w:type="dxa"/>
            <w:tcBorders>
              <w:top w:val="single" w:sz="8" w:space="0" w:color="auto"/>
              <w:left w:val="nil"/>
              <w:bottom w:val="nil"/>
              <w:right w:val="single" w:sz="8" w:space="0" w:color="auto"/>
            </w:tcBorders>
            <w:shd w:val="clear" w:color="000000" w:fill="D0CECE"/>
            <w:vAlign w:val="center"/>
            <w:hideMark/>
          </w:tcPr>
          <w:p w14:paraId="03EF3091" w14:textId="1BCC7EF5" w:rsidR="000C163D" w:rsidRPr="008719F7" w:rsidRDefault="000C163D" w:rsidP="00032773">
            <w:pPr>
              <w:spacing w:before="120" w:after="120"/>
              <w:jc w:val="center"/>
              <w:rPr>
                <w:rFonts w:ascii="Arial" w:eastAsia="Times New Roman" w:hAnsi="Arial" w:cs="Arial"/>
                <w:b/>
                <w:bCs/>
                <w:color w:val="000000"/>
                <w:sz w:val="20"/>
                <w:szCs w:val="20"/>
              </w:rPr>
            </w:pPr>
            <w:r w:rsidRPr="008719F7">
              <w:rPr>
                <w:rFonts w:ascii="Arial" w:eastAsia="Times New Roman" w:hAnsi="Arial" w:cs="Arial"/>
                <w:b/>
                <w:bCs/>
                <w:color w:val="000000"/>
                <w:sz w:val="20"/>
                <w:szCs w:val="20"/>
              </w:rPr>
              <w:t xml:space="preserve">Časová dotace </w:t>
            </w:r>
          </w:p>
        </w:tc>
      </w:tr>
      <w:tr w:rsidR="000C163D" w:rsidRPr="008719F7" w14:paraId="665927B4"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0D429114" w14:textId="4D331535"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KA1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Lékařská první pomoc (kurz)</w:t>
            </w:r>
          </w:p>
        </w:tc>
        <w:tc>
          <w:tcPr>
            <w:tcW w:w="1302" w:type="dxa"/>
            <w:tcBorders>
              <w:top w:val="single" w:sz="8" w:space="0" w:color="auto"/>
              <w:left w:val="nil"/>
              <w:bottom w:val="single" w:sz="4" w:space="0" w:color="auto"/>
              <w:right w:val="single" w:sz="4" w:space="0" w:color="auto"/>
            </w:tcBorders>
            <w:shd w:val="clear" w:color="auto" w:fill="auto"/>
            <w:vAlign w:val="bottom"/>
          </w:tcPr>
          <w:p w14:paraId="4DC47698" w14:textId="26B386C7" w:rsidR="000C163D" w:rsidRPr="008719F7" w:rsidRDefault="000C163D" w:rsidP="00143B65">
            <w:pPr>
              <w:jc w:val="center"/>
              <w:rPr>
                <w:rFonts w:ascii="Arial" w:eastAsia="Times New Roman" w:hAnsi="Arial" w:cs="Arial"/>
                <w:color w:val="000000"/>
                <w:sz w:val="20"/>
                <w:szCs w:val="20"/>
              </w:rPr>
            </w:pPr>
          </w:p>
        </w:tc>
        <w:tc>
          <w:tcPr>
            <w:tcW w:w="1752" w:type="dxa"/>
            <w:tcBorders>
              <w:top w:val="single" w:sz="8" w:space="0" w:color="auto"/>
              <w:left w:val="nil"/>
              <w:bottom w:val="single" w:sz="4" w:space="0" w:color="auto"/>
              <w:right w:val="single" w:sz="8" w:space="0" w:color="auto"/>
            </w:tcBorders>
            <w:shd w:val="clear" w:color="F1C232" w:fill="D0CECE"/>
            <w:vAlign w:val="bottom"/>
            <w:hideMark/>
          </w:tcPr>
          <w:p w14:paraId="05068641"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1B39B0EA"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05551829" w14:textId="0434BF3A"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KA2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Základy zdrav. legislativy, etiky a komunikace (kurz)</w:t>
            </w:r>
          </w:p>
        </w:tc>
        <w:tc>
          <w:tcPr>
            <w:tcW w:w="1302" w:type="dxa"/>
            <w:tcBorders>
              <w:top w:val="nil"/>
              <w:left w:val="nil"/>
              <w:bottom w:val="single" w:sz="4" w:space="0" w:color="auto"/>
              <w:right w:val="single" w:sz="4" w:space="0" w:color="auto"/>
            </w:tcBorders>
            <w:shd w:val="clear" w:color="auto" w:fill="auto"/>
            <w:vAlign w:val="bottom"/>
          </w:tcPr>
          <w:p w14:paraId="2C8C825C" w14:textId="50464514" w:rsidR="000C163D" w:rsidRPr="008719F7" w:rsidRDefault="000C163D" w:rsidP="00143B65">
            <w:pPr>
              <w:jc w:val="center"/>
              <w:rPr>
                <w:rFonts w:ascii="Arial" w:eastAsia="Times New Roman" w:hAnsi="Arial" w:cs="Arial"/>
                <w:color w:val="000000"/>
                <w:sz w:val="20"/>
                <w:szCs w:val="20"/>
              </w:rPr>
            </w:pPr>
          </w:p>
        </w:tc>
        <w:tc>
          <w:tcPr>
            <w:tcW w:w="1752" w:type="dxa"/>
            <w:tcBorders>
              <w:top w:val="nil"/>
              <w:left w:val="nil"/>
              <w:bottom w:val="single" w:sz="4" w:space="0" w:color="auto"/>
              <w:right w:val="single" w:sz="8" w:space="0" w:color="auto"/>
            </w:tcBorders>
            <w:shd w:val="clear" w:color="F1C232" w:fill="D0CECE"/>
            <w:vAlign w:val="bottom"/>
            <w:hideMark/>
          </w:tcPr>
          <w:p w14:paraId="2571D65F"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080CF4A5"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0F44AF8B" w14:textId="5BF2F123"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KA3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Prevence škodlivého užívání </w:t>
            </w:r>
            <w:r w:rsidR="00E56845" w:rsidRPr="008719F7">
              <w:rPr>
                <w:rFonts w:ascii="Arial" w:eastAsia="Times New Roman" w:hAnsi="Arial" w:cs="Arial"/>
                <w:color w:val="000000"/>
                <w:sz w:val="20"/>
                <w:szCs w:val="20"/>
              </w:rPr>
              <w:t>návykových látek</w:t>
            </w:r>
            <w:r w:rsidRPr="008719F7">
              <w:rPr>
                <w:rFonts w:ascii="Arial" w:eastAsia="Times New Roman" w:hAnsi="Arial" w:cs="Arial"/>
                <w:color w:val="000000"/>
                <w:sz w:val="20"/>
                <w:szCs w:val="20"/>
              </w:rPr>
              <w:t xml:space="preserve"> a léčba závislostí (kurz)</w:t>
            </w:r>
          </w:p>
        </w:tc>
        <w:tc>
          <w:tcPr>
            <w:tcW w:w="1302" w:type="dxa"/>
            <w:tcBorders>
              <w:top w:val="nil"/>
              <w:left w:val="nil"/>
              <w:bottom w:val="single" w:sz="4" w:space="0" w:color="auto"/>
              <w:right w:val="single" w:sz="4" w:space="0" w:color="auto"/>
            </w:tcBorders>
            <w:shd w:val="clear" w:color="auto" w:fill="auto"/>
            <w:vAlign w:val="bottom"/>
          </w:tcPr>
          <w:p w14:paraId="590F1341" w14:textId="32D4E05D" w:rsidR="000C163D" w:rsidRPr="008719F7" w:rsidRDefault="000C163D" w:rsidP="00143B65">
            <w:pPr>
              <w:jc w:val="center"/>
              <w:rPr>
                <w:rFonts w:ascii="Arial" w:eastAsia="Times New Roman" w:hAnsi="Arial" w:cs="Arial"/>
                <w:color w:val="000000"/>
                <w:sz w:val="20"/>
                <w:szCs w:val="20"/>
              </w:rPr>
            </w:pPr>
          </w:p>
        </w:tc>
        <w:tc>
          <w:tcPr>
            <w:tcW w:w="1752" w:type="dxa"/>
            <w:tcBorders>
              <w:top w:val="nil"/>
              <w:left w:val="nil"/>
              <w:bottom w:val="single" w:sz="4" w:space="0" w:color="auto"/>
              <w:right w:val="single" w:sz="8" w:space="0" w:color="auto"/>
            </w:tcBorders>
            <w:shd w:val="clear" w:color="F1C232" w:fill="D0CECE"/>
            <w:vAlign w:val="bottom"/>
            <w:hideMark/>
          </w:tcPr>
          <w:p w14:paraId="32628173"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0E3AAABB"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74120593" w14:textId="7E6C792F"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KA4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Radiační ochrana (kurz)</w:t>
            </w:r>
          </w:p>
        </w:tc>
        <w:tc>
          <w:tcPr>
            <w:tcW w:w="1302" w:type="dxa"/>
            <w:tcBorders>
              <w:top w:val="nil"/>
              <w:left w:val="nil"/>
              <w:bottom w:val="single" w:sz="4" w:space="0" w:color="auto"/>
              <w:right w:val="single" w:sz="4" w:space="0" w:color="auto"/>
            </w:tcBorders>
            <w:shd w:val="clear" w:color="auto" w:fill="auto"/>
            <w:vAlign w:val="bottom"/>
          </w:tcPr>
          <w:p w14:paraId="726CDBF9" w14:textId="2BB0304B" w:rsidR="000C163D" w:rsidRPr="008719F7" w:rsidRDefault="000C163D" w:rsidP="00143B65">
            <w:pPr>
              <w:jc w:val="center"/>
              <w:rPr>
                <w:rFonts w:ascii="Arial" w:eastAsia="Times New Roman" w:hAnsi="Arial" w:cs="Arial"/>
                <w:color w:val="000000"/>
                <w:sz w:val="20"/>
                <w:szCs w:val="20"/>
              </w:rPr>
            </w:pPr>
          </w:p>
        </w:tc>
        <w:tc>
          <w:tcPr>
            <w:tcW w:w="1752" w:type="dxa"/>
            <w:tcBorders>
              <w:top w:val="nil"/>
              <w:left w:val="nil"/>
              <w:bottom w:val="single" w:sz="4" w:space="0" w:color="auto"/>
              <w:right w:val="single" w:sz="8" w:space="0" w:color="auto"/>
            </w:tcBorders>
            <w:shd w:val="clear" w:color="F1C232" w:fill="D0CECE"/>
            <w:vAlign w:val="bottom"/>
            <w:hideMark/>
          </w:tcPr>
          <w:p w14:paraId="553FDE29"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7E429D92"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7BB4879F" w14:textId="0967C238"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KA5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Novorozenecká a vývojová neurologie (kurz)</w:t>
            </w:r>
          </w:p>
        </w:tc>
        <w:tc>
          <w:tcPr>
            <w:tcW w:w="1302" w:type="dxa"/>
            <w:tcBorders>
              <w:top w:val="nil"/>
              <w:left w:val="nil"/>
              <w:bottom w:val="single" w:sz="4" w:space="0" w:color="auto"/>
              <w:right w:val="single" w:sz="4" w:space="0" w:color="auto"/>
            </w:tcBorders>
            <w:shd w:val="clear" w:color="auto" w:fill="auto"/>
            <w:vAlign w:val="bottom"/>
          </w:tcPr>
          <w:p w14:paraId="57C3C7BC" w14:textId="2139854A" w:rsidR="000C163D" w:rsidRPr="008719F7" w:rsidRDefault="000C163D" w:rsidP="00143B65">
            <w:pPr>
              <w:jc w:val="center"/>
              <w:rPr>
                <w:rFonts w:ascii="Arial" w:eastAsia="Times New Roman" w:hAnsi="Arial" w:cs="Arial"/>
                <w:color w:val="000000"/>
                <w:sz w:val="20"/>
                <w:szCs w:val="20"/>
              </w:rPr>
            </w:pPr>
          </w:p>
        </w:tc>
        <w:tc>
          <w:tcPr>
            <w:tcW w:w="1752" w:type="dxa"/>
            <w:tcBorders>
              <w:top w:val="nil"/>
              <w:left w:val="nil"/>
              <w:bottom w:val="single" w:sz="4" w:space="0" w:color="auto"/>
              <w:right w:val="single" w:sz="8" w:space="0" w:color="auto"/>
            </w:tcBorders>
            <w:shd w:val="clear" w:color="F1C232" w:fill="D0CECE"/>
            <w:vAlign w:val="bottom"/>
            <w:hideMark/>
          </w:tcPr>
          <w:p w14:paraId="0CD26392"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38FB7B48"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5CA3D975" w14:textId="4C336B02"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KA6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Nervosvalová a </w:t>
            </w:r>
            <w:proofErr w:type="spellStart"/>
            <w:r w:rsidRPr="008719F7">
              <w:rPr>
                <w:rFonts w:ascii="Arial" w:eastAsia="Times New Roman" w:hAnsi="Arial" w:cs="Arial"/>
                <w:color w:val="000000"/>
                <w:sz w:val="20"/>
                <w:szCs w:val="20"/>
              </w:rPr>
              <w:t>metabol</w:t>
            </w:r>
            <w:proofErr w:type="spellEnd"/>
            <w:r w:rsidRPr="008719F7">
              <w:rPr>
                <w:rFonts w:ascii="Arial" w:eastAsia="Times New Roman" w:hAnsi="Arial" w:cs="Arial"/>
                <w:color w:val="000000"/>
                <w:sz w:val="20"/>
                <w:szCs w:val="20"/>
              </w:rPr>
              <w:t>. onemocnění (kurz)</w:t>
            </w:r>
          </w:p>
        </w:tc>
        <w:tc>
          <w:tcPr>
            <w:tcW w:w="1302" w:type="dxa"/>
            <w:tcBorders>
              <w:top w:val="nil"/>
              <w:left w:val="nil"/>
              <w:bottom w:val="single" w:sz="4" w:space="0" w:color="auto"/>
              <w:right w:val="single" w:sz="4" w:space="0" w:color="auto"/>
            </w:tcBorders>
            <w:shd w:val="clear" w:color="auto" w:fill="auto"/>
            <w:vAlign w:val="bottom"/>
          </w:tcPr>
          <w:p w14:paraId="14DA3B3E" w14:textId="36BB2BC5" w:rsidR="000C163D" w:rsidRPr="008719F7" w:rsidRDefault="000C163D" w:rsidP="00143B65">
            <w:pPr>
              <w:jc w:val="center"/>
              <w:rPr>
                <w:rFonts w:ascii="Arial" w:eastAsia="Times New Roman" w:hAnsi="Arial" w:cs="Arial"/>
                <w:color w:val="000000"/>
                <w:sz w:val="20"/>
                <w:szCs w:val="20"/>
              </w:rPr>
            </w:pPr>
          </w:p>
        </w:tc>
        <w:tc>
          <w:tcPr>
            <w:tcW w:w="1752" w:type="dxa"/>
            <w:tcBorders>
              <w:top w:val="nil"/>
              <w:left w:val="nil"/>
              <w:bottom w:val="single" w:sz="4" w:space="0" w:color="auto"/>
              <w:right w:val="single" w:sz="8" w:space="0" w:color="auto"/>
            </w:tcBorders>
            <w:shd w:val="clear" w:color="F1C232" w:fill="D0CECE"/>
            <w:vAlign w:val="bottom"/>
            <w:hideMark/>
          </w:tcPr>
          <w:p w14:paraId="131F75EB"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6308F7DF"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22B55ADD" w14:textId="7FDA7524"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KA7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w:t>
            </w:r>
            <w:proofErr w:type="spellStart"/>
            <w:r w:rsidRPr="008719F7">
              <w:rPr>
                <w:rFonts w:ascii="Arial" w:eastAsia="Times New Roman" w:hAnsi="Arial" w:cs="Arial"/>
                <w:color w:val="000000"/>
                <w:sz w:val="20"/>
                <w:szCs w:val="20"/>
              </w:rPr>
              <w:t>Epileptologie</w:t>
            </w:r>
            <w:proofErr w:type="spellEnd"/>
            <w:r w:rsidRPr="008719F7">
              <w:rPr>
                <w:rFonts w:ascii="Arial" w:eastAsia="Times New Roman" w:hAnsi="Arial" w:cs="Arial"/>
                <w:color w:val="000000"/>
                <w:sz w:val="20"/>
                <w:szCs w:val="20"/>
              </w:rPr>
              <w:t>, poruchy spánku, zobrazovací metody (kurz)</w:t>
            </w:r>
          </w:p>
        </w:tc>
        <w:tc>
          <w:tcPr>
            <w:tcW w:w="1302" w:type="dxa"/>
            <w:tcBorders>
              <w:top w:val="nil"/>
              <w:left w:val="nil"/>
              <w:bottom w:val="single" w:sz="4" w:space="0" w:color="auto"/>
              <w:right w:val="single" w:sz="4" w:space="0" w:color="auto"/>
            </w:tcBorders>
            <w:shd w:val="clear" w:color="auto" w:fill="auto"/>
            <w:vAlign w:val="bottom"/>
            <w:hideMark/>
          </w:tcPr>
          <w:p w14:paraId="226BA4BB"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4" w:space="0" w:color="auto"/>
              <w:right w:val="single" w:sz="8" w:space="0" w:color="auto"/>
            </w:tcBorders>
            <w:shd w:val="clear" w:color="F1C232" w:fill="D0CECE"/>
            <w:vAlign w:val="bottom"/>
            <w:hideMark/>
          </w:tcPr>
          <w:p w14:paraId="169B689C"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475A9A40"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6A19FFA0" w14:textId="2046B9F1"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KA8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w:t>
            </w:r>
            <w:proofErr w:type="spellStart"/>
            <w:r w:rsidRPr="008719F7">
              <w:rPr>
                <w:rFonts w:ascii="Arial" w:eastAsia="Times New Roman" w:hAnsi="Arial" w:cs="Arial"/>
                <w:color w:val="000000"/>
                <w:sz w:val="20"/>
                <w:szCs w:val="20"/>
              </w:rPr>
              <w:t>Movement</w:t>
            </w:r>
            <w:proofErr w:type="spellEnd"/>
            <w:r w:rsidRPr="008719F7">
              <w:rPr>
                <w:rFonts w:ascii="Arial" w:eastAsia="Times New Roman" w:hAnsi="Arial" w:cs="Arial"/>
                <w:color w:val="000000"/>
                <w:sz w:val="20"/>
                <w:szCs w:val="20"/>
              </w:rPr>
              <w:t xml:space="preserve"> </w:t>
            </w:r>
            <w:proofErr w:type="spellStart"/>
            <w:r w:rsidRPr="008719F7">
              <w:rPr>
                <w:rFonts w:ascii="Arial" w:eastAsia="Times New Roman" w:hAnsi="Arial" w:cs="Arial"/>
                <w:color w:val="000000"/>
                <w:sz w:val="20"/>
                <w:szCs w:val="20"/>
              </w:rPr>
              <w:t>disorders</w:t>
            </w:r>
            <w:proofErr w:type="spellEnd"/>
            <w:r w:rsidRPr="008719F7">
              <w:rPr>
                <w:rFonts w:ascii="Arial" w:eastAsia="Times New Roman" w:hAnsi="Arial" w:cs="Arial"/>
                <w:color w:val="000000"/>
                <w:sz w:val="20"/>
                <w:szCs w:val="20"/>
              </w:rPr>
              <w:t xml:space="preserve">, autoimunitní a infekční onemocnění, </w:t>
            </w:r>
            <w:proofErr w:type="spellStart"/>
            <w:r w:rsidRPr="008719F7">
              <w:rPr>
                <w:rFonts w:ascii="Arial" w:eastAsia="Times New Roman" w:hAnsi="Arial" w:cs="Arial"/>
                <w:color w:val="000000"/>
                <w:sz w:val="20"/>
                <w:szCs w:val="20"/>
              </w:rPr>
              <w:t>neurotrauma</w:t>
            </w:r>
            <w:proofErr w:type="spellEnd"/>
            <w:r w:rsidRPr="008719F7">
              <w:rPr>
                <w:rFonts w:ascii="Arial" w:eastAsia="Times New Roman" w:hAnsi="Arial" w:cs="Arial"/>
                <w:color w:val="000000"/>
                <w:sz w:val="20"/>
                <w:szCs w:val="20"/>
              </w:rPr>
              <w:t xml:space="preserve"> (kurz)</w:t>
            </w:r>
          </w:p>
        </w:tc>
        <w:tc>
          <w:tcPr>
            <w:tcW w:w="1302" w:type="dxa"/>
            <w:tcBorders>
              <w:top w:val="nil"/>
              <w:left w:val="nil"/>
              <w:bottom w:val="single" w:sz="4" w:space="0" w:color="auto"/>
              <w:right w:val="single" w:sz="4" w:space="0" w:color="auto"/>
            </w:tcBorders>
            <w:shd w:val="clear" w:color="auto" w:fill="auto"/>
            <w:vAlign w:val="bottom"/>
            <w:hideMark/>
          </w:tcPr>
          <w:p w14:paraId="02708042"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4" w:space="0" w:color="auto"/>
              <w:right w:val="single" w:sz="8" w:space="0" w:color="auto"/>
            </w:tcBorders>
            <w:shd w:val="clear" w:color="F1C232" w:fill="D0CECE"/>
            <w:vAlign w:val="bottom"/>
            <w:hideMark/>
          </w:tcPr>
          <w:p w14:paraId="30F5235E"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7E615782"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79DC7691" w14:textId="52C06BA0"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KA9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Akutní neurologie, neuropsychologie a neuropsychiatrie, </w:t>
            </w:r>
            <w:proofErr w:type="spellStart"/>
            <w:r w:rsidRPr="008719F7">
              <w:rPr>
                <w:rFonts w:ascii="Arial" w:eastAsia="Times New Roman" w:hAnsi="Arial" w:cs="Arial"/>
                <w:color w:val="000000"/>
                <w:sz w:val="20"/>
                <w:szCs w:val="20"/>
              </w:rPr>
              <w:t>neurorehabilitace</w:t>
            </w:r>
            <w:proofErr w:type="spellEnd"/>
            <w:r w:rsidRPr="008719F7">
              <w:rPr>
                <w:rFonts w:ascii="Arial" w:eastAsia="Times New Roman" w:hAnsi="Arial" w:cs="Arial"/>
                <w:color w:val="000000"/>
                <w:sz w:val="20"/>
                <w:szCs w:val="20"/>
              </w:rPr>
              <w:t>, základy klinické genetiky (kurz)</w:t>
            </w:r>
          </w:p>
        </w:tc>
        <w:tc>
          <w:tcPr>
            <w:tcW w:w="1302" w:type="dxa"/>
            <w:tcBorders>
              <w:top w:val="nil"/>
              <w:left w:val="nil"/>
              <w:bottom w:val="single" w:sz="4" w:space="0" w:color="auto"/>
              <w:right w:val="single" w:sz="4" w:space="0" w:color="auto"/>
            </w:tcBorders>
            <w:shd w:val="clear" w:color="auto" w:fill="auto"/>
            <w:vAlign w:val="bottom"/>
            <w:hideMark/>
          </w:tcPr>
          <w:p w14:paraId="19BD9968"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4" w:space="0" w:color="auto"/>
              <w:right w:val="single" w:sz="8" w:space="0" w:color="auto"/>
            </w:tcBorders>
            <w:shd w:val="clear" w:color="F1C232" w:fill="D0CECE"/>
            <w:vAlign w:val="bottom"/>
            <w:hideMark/>
          </w:tcPr>
          <w:p w14:paraId="19B2E0A8"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x</w:t>
            </w:r>
          </w:p>
        </w:tc>
      </w:tr>
      <w:tr w:rsidR="000C163D" w:rsidRPr="008719F7" w14:paraId="5119D6DF"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77670531" w14:textId="4B7EC4D5"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KA10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Dětská neurologie (praxe)</w:t>
            </w:r>
          </w:p>
        </w:tc>
        <w:tc>
          <w:tcPr>
            <w:tcW w:w="1302" w:type="dxa"/>
            <w:tcBorders>
              <w:top w:val="nil"/>
              <w:left w:val="nil"/>
              <w:bottom w:val="single" w:sz="4" w:space="0" w:color="auto"/>
              <w:right w:val="single" w:sz="4" w:space="0" w:color="auto"/>
            </w:tcBorders>
            <w:shd w:val="clear" w:color="auto" w:fill="auto"/>
            <w:vAlign w:val="bottom"/>
            <w:hideMark/>
          </w:tcPr>
          <w:p w14:paraId="463F2974"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4" w:space="0" w:color="auto"/>
              <w:right w:val="single" w:sz="8" w:space="0" w:color="auto"/>
            </w:tcBorders>
            <w:shd w:val="clear" w:color="auto" w:fill="auto"/>
            <w:vAlign w:val="bottom"/>
            <w:hideMark/>
          </w:tcPr>
          <w:p w14:paraId="00261C57"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r>
      <w:tr w:rsidR="000C163D" w:rsidRPr="008719F7" w14:paraId="5286082F"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67551BBA" w14:textId="3BB289E9"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KA11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Neurologie (praxe) – pro lékaře s pediatrickým kmenem</w:t>
            </w:r>
          </w:p>
        </w:tc>
        <w:tc>
          <w:tcPr>
            <w:tcW w:w="1302" w:type="dxa"/>
            <w:tcBorders>
              <w:top w:val="nil"/>
              <w:left w:val="nil"/>
              <w:bottom w:val="single" w:sz="4" w:space="0" w:color="auto"/>
              <w:right w:val="single" w:sz="4" w:space="0" w:color="auto"/>
            </w:tcBorders>
            <w:shd w:val="clear" w:color="auto" w:fill="auto"/>
            <w:vAlign w:val="bottom"/>
            <w:hideMark/>
          </w:tcPr>
          <w:p w14:paraId="47159A51"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4" w:space="0" w:color="auto"/>
              <w:right w:val="single" w:sz="8" w:space="0" w:color="auto"/>
            </w:tcBorders>
            <w:shd w:val="clear" w:color="auto" w:fill="auto"/>
            <w:vAlign w:val="bottom"/>
            <w:hideMark/>
          </w:tcPr>
          <w:p w14:paraId="22CDF6E9"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r>
      <w:tr w:rsidR="000C163D" w:rsidRPr="008719F7" w14:paraId="0EB4CF29" w14:textId="77777777" w:rsidTr="00032773">
        <w:trPr>
          <w:trHeight w:val="284"/>
        </w:trPr>
        <w:tc>
          <w:tcPr>
            <w:tcW w:w="6074" w:type="dxa"/>
            <w:tcBorders>
              <w:top w:val="nil"/>
              <w:left w:val="single" w:sz="8" w:space="0" w:color="auto"/>
              <w:bottom w:val="single" w:sz="4" w:space="0" w:color="auto"/>
              <w:right w:val="single" w:sz="8" w:space="0" w:color="auto"/>
            </w:tcBorders>
            <w:shd w:val="clear" w:color="000000" w:fill="D0CECE"/>
            <w:vAlign w:val="bottom"/>
            <w:hideMark/>
          </w:tcPr>
          <w:p w14:paraId="7AF4CE1C" w14:textId="74F30D99"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KA12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Dětské lékařství (praxe) – pro lékaře s neurologickým kmenem</w:t>
            </w:r>
          </w:p>
        </w:tc>
        <w:tc>
          <w:tcPr>
            <w:tcW w:w="1302" w:type="dxa"/>
            <w:tcBorders>
              <w:top w:val="nil"/>
              <w:left w:val="nil"/>
              <w:bottom w:val="single" w:sz="4" w:space="0" w:color="auto"/>
              <w:right w:val="single" w:sz="4" w:space="0" w:color="auto"/>
            </w:tcBorders>
            <w:shd w:val="clear" w:color="auto" w:fill="auto"/>
            <w:vAlign w:val="bottom"/>
            <w:hideMark/>
          </w:tcPr>
          <w:p w14:paraId="1C93FC9D"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4" w:space="0" w:color="auto"/>
              <w:right w:val="single" w:sz="8" w:space="0" w:color="auto"/>
            </w:tcBorders>
            <w:shd w:val="clear" w:color="auto" w:fill="auto"/>
            <w:vAlign w:val="bottom"/>
            <w:hideMark/>
          </w:tcPr>
          <w:p w14:paraId="744ED0FF"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r>
      <w:tr w:rsidR="000C163D" w:rsidRPr="008719F7" w14:paraId="32A12797" w14:textId="77777777" w:rsidTr="00032773">
        <w:trPr>
          <w:trHeight w:val="284"/>
        </w:trPr>
        <w:tc>
          <w:tcPr>
            <w:tcW w:w="6074" w:type="dxa"/>
            <w:tcBorders>
              <w:top w:val="nil"/>
              <w:left w:val="single" w:sz="8" w:space="0" w:color="auto"/>
              <w:bottom w:val="single" w:sz="8" w:space="0" w:color="auto"/>
              <w:right w:val="single" w:sz="8" w:space="0" w:color="auto"/>
            </w:tcBorders>
            <w:shd w:val="clear" w:color="000000" w:fill="D0CECE"/>
            <w:vAlign w:val="bottom"/>
            <w:hideMark/>
          </w:tcPr>
          <w:p w14:paraId="497C0992" w14:textId="4397B5F9" w:rsidR="000C163D" w:rsidRPr="008719F7" w:rsidRDefault="000C163D" w:rsidP="00143B65">
            <w:pPr>
              <w:jc w:val="left"/>
              <w:rPr>
                <w:rFonts w:ascii="Arial" w:eastAsia="Times New Roman" w:hAnsi="Arial" w:cs="Arial"/>
                <w:color w:val="000000"/>
                <w:sz w:val="20"/>
                <w:szCs w:val="20"/>
              </w:rPr>
            </w:pPr>
            <w:r w:rsidRPr="008719F7">
              <w:rPr>
                <w:rFonts w:ascii="Arial" w:eastAsia="Times New Roman" w:hAnsi="Arial" w:cs="Arial"/>
                <w:color w:val="000000"/>
                <w:sz w:val="20"/>
                <w:szCs w:val="20"/>
              </w:rPr>
              <w:t xml:space="preserve">KA13 </w:t>
            </w:r>
            <w:r w:rsidR="00DB0066" w:rsidRPr="008719F7">
              <w:rPr>
                <w:rFonts w:ascii="Arial" w:eastAsia="Times New Roman" w:hAnsi="Arial" w:cs="Arial"/>
                <w:color w:val="000000"/>
                <w:sz w:val="20"/>
                <w:szCs w:val="20"/>
              </w:rPr>
              <w:t>–</w:t>
            </w:r>
            <w:r w:rsidRPr="008719F7">
              <w:rPr>
                <w:rFonts w:ascii="Arial" w:eastAsia="Times New Roman" w:hAnsi="Arial" w:cs="Arial"/>
                <w:color w:val="000000"/>
                <w:sz w:val="20"/>
                <w:szCs w:val="20"/>
              </w:rPr>
              <w:t xml:space="preserve"> Dětská a dorostová psychiatrie (praxe)</w:t>
            </w:r>
          </w:p>
        </w:tc>
        <w:tc>
          <w:tcPr>
            <w:tcW w:w="1302" w:type="dxa"/>
            <w:tcBorders>
              <w:top w:val="nil"/>
              <w:left w:val="nil"/>
              <w:bottom w:val="single" w:sz="8" w:space="0" w:color="auto"/>
              <w:right w:val="single" w:sz="4" w:space="0" w:color="auto"/>
            </w:tcBorders>
            <w:shd w:val="clear" w:color="auto" w:fill="auto"/>
            <w:vAlign w:val="bottom"/>
            <w:hideMark/>
          </w:tcPr>
          <w:p w14:paraId="3688104A"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c>
          <w:tcPr>
            <w:tcW w:w="1752" w:type="dxa"/>
            <w:tcBorders>
              <w:top w:val="nil"/>
              <w:left w:val="nil"/>
              <w:bottom w:val="single" w:sz="8" w:space="0" w:color="auto"/>
              <w:right w:val="single" w:sz="8" w:space="0" w:color="auto"/>
            </w:tcBorders>
            <w:shd w:val="clear" w:color="auto" w:fill="auto"/>
            <w:vAlign w:val="bottom"/>
            <w:hideMark/>
          </w:tcPr>
          <w:p w14:paraId="1CE5B017" w14:textId="77777777" w:rsidR="000C163D" w:rsidRPr="008719F7" w:rsidRDefault="000C163D" w:rsidP="00143B65">
            <w:pPr>
              <w:jc w:val="center"/>
              <w:rPr>
                <w:rFonts w:ascii="Arial" w:eastAsia="Times New Roman" w:hAnsi="Arial" w:cs="Arial"/>
                <w:color w:val="000000"/>
                <w:sz w:val="20"/>
                <w:szCs w:val="20"/>
              </w:rPr>
            </w:pPr>
            <w:r w:rsidRPr="008719F7">
              <w:rPr>
                <w:rFonts w:ascii="Arial" w:eastAsia="Times New Roman" w:hAnsi="Arial" w:cs="Arial"/>
                <w:color w:val="000000"/>
                <w:sz w:val="20"/>
                <w:szCs w:val="20"/>
              </w:rPr>
              <w:t> </w:t>
            </w:r>
          </w:p>
        </w:tc>
      </w:tr>
    </w:tbl>
    <w:p w14:paraId="309F7B48" w14:textId="25E04591" w:rsidR="000C163D" w:rsidRPr="008719F7" w:rsidRDefault="009533BC" w:rsidP="000C163D">
      <w:pPr>
        <w:spacing w:before="120"/>
        <w:rPr>
          <w:rFonts w:ascii="Arial" w:eastAsia="Times New Roman" w:hAnsi="Arial" w:cs="Arial"/>
          <w:sz w:val="20"/>
          <w:szCs w:val="20"/>
        </w:rPr>
      </w:pPr>
      <w:r w:rsidRPr="008719F7">
        <w:rPr>
          <w:rFonts w:ascii="Arial" w:eastAsia="Times New Roman" w:hAnsi="Arial" w:cs="Arial"/>
          <w:color w:val="000000"/>
          <w:sz w:val="20"/>
          <w:szCs w:val="20"/>
        </w:rPr>
        <w:t>Pozn.: Změna v Individuálním vzdělávacím plánu nevede ke změně Rozhodnutí o poskytnutí dotace.</w:t>
      </w:r>
    </w:p>
    <w:p w14:paraId="71AC10A0" w14:textId="77777777" w:rsidR="00CE06C0" w:rsidRPr="008719F7" w:rsidRDefault="00CE06C0" w:rsidP="000948B4">
      <w:pPr>
        <w:spacing w:after="120" w:line="276" w:lineRule="auto"/>
        <w:rPr>
          <w:rFonts w:ascii="Arial" w:eastAsia="Calibri" w:hAnsi="Arial" w:cs="Arial"/>
          <w:b/>
          <w:color w:val="000000"/>
          <w:sz w:val="20"/>
          <w:szCs w:val="20"/>
        </w:rPr>
      </w:pPr>
    </w:p>
    <w:sectPr w:rsidR="00CE06C0" w:rsidRPr="008719F7" w:rsidSect="00CE06C0">
      <w:footerReference w:type="default" r:id="rId12"/>
      <w:headerReference w:type="first" r:id="rId13"/>
      <w:pgSz w:w="11906" w:h="16838" w:code="9"/>
      <w:pgMar w:top="629" w:right="1361" w:bottom="2268" w:left="1361"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2C3D" w14:textId="77777777" w:rsidR="00F53FBD" w:rsidRDefault="00F53FBD" w:rsidP="009974F4">
      <w:pPr>
        <w:spacing w:after="0"/>
      </w:pPr>
      <w:r>
        <w:separator/>
      </w:r>
    </w:p>
  </w:endnote>
  <w:endnote w:type="continuationSeparator" w:id="0">
    <w:p w14:paraId="06BB5912" w14:textId="77777777" w:rsidR="00F53FBD" w:rsidRDefault="00F53FBD" w:rsidP="00997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ill Sans">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287B" w14:textId="49EF1119" w:rsidR="00911C80" w:rsidRPr="003F51D8" w:rsidRDefault="00911C80">
    <w:pPr>
      <w:pStyle w:val="Zpat"/>
      <w:jc w:val="right"/>
      <w:rPr>
        <w:rFonts w:ascii="Times New Roman" w:hAnsi="Times New Roman" w:cs="Times New Roman"/>
      </w:rPr>
    </w:pPr>
  </w:p>
  <w:p w14:paraId="6CA47ACA" w14:textId="3439C9D2" w:rsidR="00B60205" w:rsidRPr="00F5706A" w:rsidRDefault="00B60205" w:rsidP="000B1E35">
    <w:pPr>
      <w:pStyle w:val="Zpat"/>
      <w:jc w:val="center"/>
      <w:rPr>
        <w:rFonts w:ascii="Arial" w:hAnsi="Arial" w:cs="Arial"/>
        <w:sz w:val="18"/>
        <w:szCs w:val="18"/>
      </w:rPr>
    </w:pPr>
    <w:r w:rsidRPr="00F5706A">
      <w:rPr>
        <w:rFonts w:ascii="Arial" w:hAnsi="Arial" w:cs="Arial"/>
        <w:sz w:val="18"/>
        <w:szCs w:val="18"/>
      </w:rPr>
      <w:t>Ministerstvo zdravotnictví</w:t>
    </w:r>
  </w:p>
  <w:p w14:paraId="7D078EAA" w14:textId="5EC7748C" w:rsidR="00B60205" w:rsidRPr="00F5706A" w:rsidRDefault="00B60205" w:rsidP="000B1E35">
    <w:pPr>
      <w:pStyle w:val="Zpat"/>
      <w:jc w:val="center"/>
      <w:rPr>
        <w:rFonts w:ascii="Arial" w:hAnsi="Arial" w:cs="Arial"/>
        <w:sz w:val="18"/>
        <w:szCs w:val="18"/>
      </w:rPr>
    </w:pPr>
    <w:r w:rsidRPr="00F5706A">
      <w:rPr>
        <w:rFonts w:ascii="Arial" w:hAnsi="Arial" w:cs="Arial"/>
        <w:sz w:val="18"/>
        <w:szCs w:val="18"/>
      </w:rPr>
      <w:t xml:space="preserve">Palackého náměstí 4, 128 </w:t>
    </w:r>
    <w:proofErr w:type="gramStart"/>
    <w:r w:rsidRPr="00F5706A">
      <w:rPr>
        <w:rFonts w:ascii="Arial" w:hAnsi="Arial" w:cs="Arial"/>
        <w:sz w:val="18"/>
        <w:szCs w:val="18"/>
      </w:rPr>
      <w:t xml:space="preserve">01 </w:t>
    </w:r>
    <w:r w:rsidR="00E41919" w:rsidRPr="00F5706A">
      <w:rPr>
        <w:rFonts w:ascii="Arial" w:hAnsi="Arial" w:cs="Arial"/>
        <w:sz w:val="18"/>
        <w:szCs w:val="18"/>
      </w:rPr>
      <w:t xml:space="preserve"> </w:t>
    </w:r>
    <w:r w:rsidRPr="00F5706A">
      <w:rPr>
        <w:rFonts w:ascii="Arial" w:hAnsi="Arial" w:cs="Arial"/>
        <w:sz w:val="18"/>
        <w:szCs w:val="18"/>
      </w:rPr>
      <w:t>Praha</w:t>
    </w:r>
    <w:proofErr w:type="gramEnd"/>
    <w:r w:rsidRPr="00F5706A">
      <w:rPr>
        <w:rFonts w:ascii="Arial" w:hAnsi="Arial" w:cs="Arial"/>
        <w:sz w:val="18"/>
        <w:szCs w:val="18"/>
      </w:rPr>
      <w:t xml:space="preserve"> 2</w:t>
    </w:r>
  </w:p>
  <w:p w14:paraId="0973B034" w14:textId="46B3F285" w:rsidR="00D477CC" w:rsidRPr="00F5706A" w:rsidRDefault="00B60205" w:rsidP="00D477CC">
    <w:pPr>
      <w:pStyle w:val="Zpat"/>
      <w:tabs>
        <w:tab w:val="clear" w:pos="4536"/>
        <w:tab w:val="clear" w:pos="9072"/>
        <w:tab w:val="center" w:pos="4535"/>
        <w:tab w:val="right" w:pos="9070"/>
      </w:tabs>
      <w:jc w:val="center"/>
      <w:rPr>
        <w:rFonts w:ascii="Arial" w:hAnsi="Arial" w:cs="Arial"/>
        <w:sz w:val="18"/>
        <w:szCs w:val="18"/>
      </w:rPr>
    </w:pPr>
    <w:r w:rsidRPr="00F5706A">
      <w:rPr>
        <w:rFonts w:ascii="Arial" w:hAnsi="Arial" w:cs="Arial"/>
        <w:sz w:val="18"/>
        <w:szCs w:val="18"/>
      </w:rPr>
      <w:t xml:space="preserve">tel./fax: +420 224 971 111, e-mail: mzcr@mzcr.cz, </w:t>
    </w:r>
    <w:hyperlink r:id="rId1" w:history="1">
      <w:r w:rsidR="00D477CC" w:rsidRPr="00F5706A">
        <w:rPr>
          <w:rStyle w:val="Hypertextovodkaz"/>
          <w:rFonts w:ascii="Arial" w:hAnsi="Arial" w:cs="Arial"/>
          <w:sz w:val="18"/>
          <w:szCs w:val="18"/>
        </w:rPr>
        <w:t>www.mzcr.cz</w:t>
      </w:r>
    </w:hyperlink>
  </w:p>
  <w:p w14:paraId="006BA98B" w14:textId="77777777" w:rsidR="00D477CC" w:rsidRPr="00F5706A" w:rsidRDefault="00D477CC" w:rsidP="00D477CC">
    <w:pPr>
      <w:pStyle w:val="Zpat"/>
      <w:tabs>
        <w:tab w:val="clear" w:pos="4536"/>
        <w:tab w:val="clear" w:pos="9072"/>
        <w:tab w:val="center" w:pos="4535"/>
        <w:tab w:val="right" w:pos="9070"/>
      </w:tabs>
      <w:jc w:val="center"/>
      <w:rPr>
        <w:rFonts w:ascii="Arial" w:hAnsi="Arial" w:cs="Arial"/>
        <w:sz w:val="18"/>
        <w:szCs w:val="18"/>
      </w:rPr>
    </w:pPr>
  </w:p>
  <w:tbl>
    <w:tblPr>
      <w:tblW w:w="9818" w:type="dxa"/>
      <w:tblInd w:w="-108" w:type="dxa"/>
      <w:tblLayout w:type="fixed"/>
      <w:tblLook w:val="0000" w:firstRow="0" w:lastRow="0" w:firstColumn="0" w:lastColumn="0" w:noHBand="0" w:noVBand="0"/>
    </w:tblPr>
    <w:tblGrid>
      <w:gridCol w:w="2949"/>
      <w:gridCol w:w="3561"/>
      <w:gridCol w:w="3308"/>
    </w:tblGrid>
    <w:tr w:rsidR="00D477CC" w:rsidRPr="00F5706A" w14:paraId="309B4177" w14:textId="77777777" w:rsidTr="003464DD">
      <w:trPr>
        <w:trHeight w:val="375"/>
      </w:trPr>
      <w:tc>
        <w:tcPr>
          <w:tcW w:w="2949" w:type="dxa"/>
          <w:shd w:val="clear" w:color="auto" w:fill="auto"/>
        </w:tcPr>
        <w:p w14:paraId="2FBD1437" w14:textId="59B2CBD4" w:rsidR="00D477CC" w:rsidRPr="00F5706A" w:rsidRDefault="00D477CC" w:rsidP="00D477CC">
          <w:pPr>
            <w:tabs>
              <w:tab w:val="right" w:pos="9072"/>
            </w:tabs>
            <w:rPr>
              <w:rFonts w:ascii="Arial" w:eastAsia="Calibri" w:hAnsi="Arial" w:cs="Arial"/>
              <w:sz w:val="18"/>
              <w:szCs w:val="18"/>
            </w:rPr>
          </w:pPr>
          <w:r w:rsidRPr="00F5706A">
            <w:rPr>
              <w:rFonts w:ascii="Arial" w:eastAsia="Calibri" w:hAnsi="Arial" w:cs="Arial"/>
              <w:sz w:val="18"/>
              <w:szCs w:val="18"/>
            </w:rPr>
            <w:t xml:space="preserve">Číslo verze: </w:t>
          </w:r>
          <w:r w:rsidR="00196C4B" w:rsidRPr="00F5706A">
            <w:rPr>
              <w:rFonts w:ascii="Arial" w:eastAsia="Calibri" w:hAnsi="Arial" w:cs="Arial"/>
              <w:sz w:val="18"/>
              <w:szCs w:val="18"/>
            </w:rPr>
            <w:t>2</w:t>
          </w:r>
          <w:r w:rsidRPr="00F5706A">
            <w:rPr>
              <w:rFonts w:ascii="Arial" w:eastAsia="Calibri" w:hAnsi="Arial" w:cs="Arial"/>
              <w:sz w:val="18"/>
              <w:szCs w:val="18"/>
            </w:rPr>
            <w:t xml:space="preserve">.0 </w:t>
          </w:r>
        </w:p>
      </w:tc>
      <w:tc>
        <w:tcPr>
          <w:tcW w:w="3561" w:type="dxa"/>
          <w:shd w:val="clear" w:color="auto" w:fill="auto"/>
        </w:tcPr>
        <w:p w14:paraId="03BD414D" w14:textId="2F3343AA" w:rsidR="00D477CC" w:rsidRPr="00F5706A" w:rsidRDefault="00D477CC" w:rsidP="00D477CC">
          <w:pPr>
            <w:tabs>
              <w:tab w:val="right" w:pos="9072"/>
            </w:tabs>
            <w:jc w:val="center"/>
            <w:rPr>
              <w:rFonts w:ascii="Arial" w:hAnsi="Arial" w:cs="Arial"/>
              <w:sz w:val="18"/>
              <w:szCs w:val="18"/>
            </w:rPr>
          </w:pPr>
          <w:r w:rsidRPr="00F5706A">
            <w:rPr>
              <w:rFonts w:ascii="Arial" w:eastAsia="Calibri" w:hAnsi="Arial" w:cs="Arial"/>
              <w:sz w:val="18"/>
              <w:szCs w:val="18"/>
            </w:rPr>
            <w:t xml:space="preserve">Platnost od: </w:t>
          </w:r>
          <w:r w:rsidR="00A52C2A" w:rsidRPr="00F5706A">
            <w:rPr>
              <w:rFonts w:ascii="Arial" w:eastAsia="Calibri" w:hAnsi="Arial" w:cs="Arial"/>
              <w:sz w:val="18"/>
              <w:szCs w:val="18"/>
            </w:rPr>
            <w:t>2</w:t>
          </w:r>
          <w:r w:rsidR="00196C4B" w:rsidRPr="00F5706A">
            <w:rPr>
              <w:rFonts w:ascii="Arial" w:eastAsia="Calibri" w:hAnsi="Arial" w:cs="Arial"/>
              <w:sz w:val="18"/>
              <w:szCs w:val="18"/>
            </w:rPr>
            <w:t>6</w:t>
          </w:r>
          <w:r w:rsidRPr="00F5706A">
            <w:rPr>
              <w:rFonts w:ascii="Arial" w:eastAsia="Calibri" w:hAnsi="Arial" w:cs="Arial"/>
              <w:sz w:val="18"/>
              <w:szCs w:val="18"/>
            </w:rPr>
            <w:t>.</w:t>
          </w:r>
          <w:r w:rsidR="00174078" w:rsidRPr="00F5706A">
            <w:rPr>
              <w:rFonts w:ascii="Arial" w:eastAsia="Calibri" w:hAnsi="Arial" w:cs="Arial"/>
              <w:sz w:val="18"/>
              <w:szCs w:val="18"/>
            </w:rPr>
            <w:t xml:space="preserve"> </w:t>
          </w:r>
          <w:r w:rsidR="00A52C2A" w:rsidRPr="00F5706A">
            <w:rPr>
              <w:rFonts w:ascii="Arial" w:eastAsia="Calibri" w:hAnsi="Arial" w:cs="Arial"/>
              <w:sz w:val="18"/>
              <w:szCs w:val="18"/>
            </w:rPr>
            <w:t>8</w:t>
          </w:r>
          <w:r w:rsidRPr="00F5706A">
            <w:rPr>
              <w:rFonts w:ascii="Arial" w:eastAsia="Calibri" w:hAnsi="Arial" w:cs="Arial"/>
              <w:sz w:val="18"/>
              <w:szCs w:val="18"/>
            </w:rPr>
            <w:t>.</w:t>
          </w:r>
          <w:r w:rsidR="00174078" w:rsidRPr="00F5706A">
            <w:rPr>
              <w:rFonts w:ascii="Arial" w:eastAsia="Calibri" w:hAnsi="Arial" w:cs="Arial"/>
              <w:sz w:val="18"/>
              <w:szCs w:val="18"/>
            </w:rPr>
            <w:t xml:space="preserve"> </w:t>
          </w:r>
          <w:r w:rsidRPr="00F5706A">
            <w:rPr>
              <w:rFonts w:ascii="Arial" w:eastAsia="Calibri" w:hAnsi="Arial" w:cs="Arial"/>
              <w:sz w:val="18"/>
              <w:szCs w:val="18"/>
            </w:rPr>
            <w:t>2020</w:t>
          </w:r>
        </w:p>
      </w:tc>
      <w:tc>
        <w:tcPr>
          <w:tcW w:w="3308" w:type="dxa"/>
          <w:shd w:val="clear" w:color="auto" w:fill="auto"/>
        </w:tcPr>
        <w:p w14:paraId="0E7EC6BF" w14:textId="77777777" w:rsidR="00D477CC" w:rsidRPr="00F5706A" w:rsidRDefault="00D477CC" w:rsidP="00D477CC">
          <w:pPr>
            <w:tabs>
              <w:tab w:val="right" w:pos="9072"/>
            </w:tabs>
            <w:jc w:val="center"/>
            <w:rPr>
              <w:rFonts w:ascii="Arial" w:hAnsi="Arial" w:cs="Arial"/>
              <w:sz w:val="18"/>
              <w:szCs w:val="18"/>
            </w:rPr>
          </w:pPr>
          <w:r w:rsidRPr="00F5706A">
            <w:rPr>
              <w:rFonts w:ascii="Arial" w:eastAsia="Calibri" w:hAnsi="Arial" w:cs="Arial"/>
              <w:sz w:val="18"/>
              <w:szCs w:val="18"/>
            </w:rPr>
            <w:t xml:space="preserve"> Strana </w:t>
          </w:r>
          <w:r w:rsidRPr="00F5706A">
            <w:rPr>
              <w:rFonts w:ascii="Arial" w:hAnsi="Arial" w:cs="Arial"/>
              <w:sz w:val="18"/>
              <w:szCs w:val="18"/>
            </w:rPr>
            <w:fldChar w:fldCharType="begin"/>
          </w:r>
          <w:r w:rsidRPr="00F5706A">
            <w:rPr>
              <w:rFonts w:ascii="Arial" w:hAnsi="Arial" w:cs="Arial"/>
              <w:sz w:val="18"/>
              <w:szCs w:val="18"/>
            </w:rPr>
            <w:instrText>PAGE</w:instrText>
          </w:r>
          <w:r w:rsidRPr="00F5706A">
            <w:rPr>
              <w:rFonts w:ascii="Arial" w:hAnsi="Arial" w:cs="Arial"/>
              <w:sz w:val="18"/>
              <w:szCs w:val="18"/>
            </w:rPr>
            <w:fldChar w:fldCharType="separate"/>
          </w:r>
          <w:r w:rsidRPr="00F5706A">
            <w:rPr>
              <w:rFonts w:ascii="Arial" w:hAnsi="Arial" w:cs="Arial"/>
              <w:noProof/>
              <w:sz w:val="18"/>
              <w:szCs w:val="18"/>
            </w:rPr>
            <w:t>1</w:t>
          </w:r>
          <w:r w:rsidRPr="00F5706A">
            <w:rPr>
              <w:rFonts w:ascii="Arial" w:hAnsi="Arial" w:cs="Arial"/>
              <w:sz w:val="18"/>
              <w:szCs w:val="18"/>
            </w:rPr>
            <w:fldChar w:fldCharType="end"/>
          </w:r>
          <w:r w:rsidRPr="00F5706A">
            <w:rPr>
              <w:rFonts w:ascii="Arial" w:eastAsia="Calibri" w:hAnsi="Arial" w:cs="Arial"/>
              <w:sz w:val="18"/>
              <w:szCs w:val="18"/>
            </w:rPr>
            <w:t xml:space="preserve"> (celkem </w:t>
          </w:r>
          <w:r w:rsidRPr="00F5706A">
            <w:rPr>
              <w:rFonts w:ascii="Arial" w:hAnsi="Arial" w:cs="Arial"/>
              <w:sz w:val="18"/>
              <w:szCs w:val="18"/>
            </w:rPr>
            <w:fldChar w:fldCharType="begin"/>
          </w:r>
          <w:r w:rsidRPr="00F5706A">
            <w:rPr>
              <w:rFonts w:ascii="Arial" w:hAnsi="Arial" w:cs="Arial"/>
              <w:sz w:val="18"/>
              <w:szCs w:val="18"/>
            </w:rPr>
            <w:instrText>NUMPAGES</w:instrText>
          </w:r>
          <w:r w:rsidRPr="00F5706A">
            <w:rPr>
              <w:rFonts w:ascii="Arial" w:hAnsi="Arial" w:cs="Arial"/>
              <w:sz w:val="18"/>
              <w:szCs w:val="18"/>
            </w:rPr>
            <w:fldChar w:fldCharType="separate"/>
          </w:r>
          <w:r w:rsidRPr="00F5706A">
            <w:rPr>
              <w:rFonts w:ascii="Arial" w:hAnsi="Arial" w:cs="Arial"/>
              <w:noProof/>
              <w:sz w:val="18"/>
              <w:szCs w:val="18"/>
            </w:rPr>
            <w:t>1</w:t>
          </w:r>
          <w:r w:rsidRPr="00F5706A">
            <w:rPr>
              <w:rFonts w:ascii="Arial" w:hAnsi="Arial" w:cs="Arial"/>
              <w:sz w:val="18"/>
              <w:szCs w:val="18"/>
            </w:rPr>
            <w:fldChar w:fldCharType="end"/>
          </w:r>
          <w:r w:rsidRPr="00F5706A">
            <w:rPr>
              <w:rFonts w:ascii="Arial" w:eastAsia="Calibri" w:hAnsi="Arial" w:cs="Arial"/>
              <w:sz w:val="18"/>
              <w:szCs w:val="18"/>
            </w:rPr>
            <w:t>)</w:t>
          </w:r>
        </w:p>
      </w:tc>
    </w:tr>
  </w:tbl>
  <w:p w14:paraId="7C24C5BB" w14:textId="08A84304" w:rsidR="00911C80" w:rsidRDefault="000B1E35" w:rsidP="005F2685">
    <w:pPr>
      <w:pStyle w:val="Zpat"/>
      <w:tabs>
        <w:tab w:val="clear" w:pos="4536"/>
        <w:tab w:val="clear" w:pos="9072"/>
        <w:tab w:val="center" w:pos="4535"/>
        <w:tab w:val="right" w:pos="9070"/>
      </w:tabs>
      <w:jc w:val="right"/>
    </w:pPr>
    <w:r>
      <w:rPr>
        <w:rFonts w:ascii="Gill Sans" w:hAnsi="Gill San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975D" w14:textId="77777777" w:rsidR="00D477CC" w:rsidRDefault="00D477CC" w:rsidP="000B1E35">
    <w:pPr>
      <w:pStyle w:val="Odstavecseseznamem"/>
      <w:jc w:val="center"/>
      <w:rPr>
        <w:rFonts w:ascii="Gill Sans" w:hAnsi="Gill Sans"/>
        <w:sz w:val="18"/>
        <w:szCs w:val="18"/>
      </w:rPr>
    </w:pPr>
  </w:p>
  <w:p w14:paraId="1DA40324" w14:textId="2AA3B327" w:rsidR="000B1E35" w:rsidRPr="00BD22ED" w:rsidRDefault="000B1E35" w:rsidP="000B1E35">
    <w:pPr>
      <w:pStyle w:val="Odstavecseseznamem"/>
      <w:jc w:val="center"/>
      <w:rPr>
        <w:rFonts w:ascii="Arial" w:hAnsi="Arial" w:cs="Arial"/>
        <w:sz w:val="20"/>
        <w:szCs w:val="20"/>
      </w:rPr>
    </w:pPr>
    <w:r w:rsidRPr="00BD22ED">
      <w:rPr>
        <w:rFonts w:ascii="Arial" w:hAnsi="Arial" w:cs="Arial"/>
        <w:sz w:val="20"/>
        <w:szCs w:val="20"/>
      </w:rPr>
      <w:t>Ministerstvo zdravotnictví</w:t>
    </w:r>
  </w:p>
  <w:p w14:paraId="38194FA0" w14:textId="77777777" w:rsidR="000B1E35" w:rsidRPr="00BD22ED" w:rsidRDefault="000B1E35" w:rsidP="000B1E35">
    <w:pPr>
      <w:pStyle w:val="Odstavecseseznamem"/>
      <w:jc w:val="center"/>
      <w:rPr>
        <w:rFonts w:ascii="Arial" w:hAnsi="Arial" w:cs="Arial"/>
        <w:sz w:val="20"/>
        <w:szCs w:val="20"/>
      </w:rPr>
    </w:pPr>
    <w:r w:rsidRPr="00BD22ED">
      <w:rPr>
        <w:rFonts w:ascii="Arial" w:hAnsi="Arial" w:cs="Arial"/>
        <w:sz w:val="20"/>
        <w:szCs w:val="20"/>
      </w:rPr>
      <w:t>Palackého náměstí 4, 128 01 Praha 2</w:t>
    </w:r>
  </w:p>
  <w:p w14:paraId="38CEFDE7" w14:textId="77777777" w:rsidR="00D477CC" w:rsidRPr="00BD22ED" w:rsidRDefault="000B1E35" w:rsidP="00D477CC">
    <w:pPr>
      <w:pStyle w:val="Odstavecseseznamem"/>
      <w:jc w:val="center"/>
      <w:rPr>
        <w:rFonts w:ascii="Arial" w:hAnsi="Arial" w:cs="Arial"/>
        <w:sz w:val="20"/>
        <w:szCs w:val="20"/>
      </w:rPr>
    </w:pPr>
    <w:r w:rsidRPr="00BD22ED">
      <w:rPr>
        <w:rFonts w:ascii="Arial" w:hAnsi="Arial" w:cs="Arial"/>
        <w:sz w:val="20"/>
        <w:szCs w:val="20"/>
      </w:rPr>
      <w:t xml:space="preserve">tel./fax: +420 224 971 111, e-mail: mzcr@mzcr.cz, </w:t>
    </w:r>
    <w:hyperlink r:id="rId1" w:history="1">
      <w:r w:rsidR="00D477CC" w:rsidRPr="00BD22ED">
        <w:rPr>
          <w:rStyle w:val="Hypertextovodkaz"/>
          <w:rFonts w:ascii="Arial" w:hAnsi="Arial" w:cs="Arial"/>
          <w:sz w:val="20"/>
          <w:szCs w:val="20"/>
        </w:rPr>
        <w:t>www.mzcr.cz</w:t>
      </w:r>
    </w:hyperlink>
  </w:p>
  <w:tbl>
    <w:tblPr>
      <w:tblW w:w="9818" w:type="dxa"/>
      <w:tblInd w:w="-108" w:type="dxa"/>
      <w:tblLayout w:type="fixed"/>
      <w:tblLook w:val="0000" w:firstRow="0" w:lastRow="0" w:firstColumn="0" w:lastColumn="0" w:noHBand="0" w:noVBand="0"/>
    </w:tblPr>
    <w:tblGrid>
      <w:gridCol w:w="2949"/>
      <w:gridCol w:w="3561"/>
      <w:gridCol w:w="3308"/>
    </w:tblGrid>
    <w:tr w:rsidR="00D477CC" w:rsidRPr="00BD22ED" w14:paraId="273499C0" w14:textId="77777777" w:rsidTr="003464DD">
      <w:trPr>
        <w:trHeight w:val="375"/>
      </w:trPr>
      <w:tc>
        <w:tcPr>
          <w:tcW w:w="2949" w:type="dxa"/>
          <w:shd w:val="clear" w:color="auto" w:fill="auto"/>
        </w:tcPr>
        <w:p w14:paraId="77EF52E4" w14:textId="5CB78E59" w:rsidR="00D477CC" w:rsidRPr="00BD22ED" w:rsidRDefault="00D477CC" w:rsidP="00D477CC">
          <w:pPr>
            <w:tabs>
              <w:tab w:val="right" w:pos="9072"/>
            </w:tabs>
            <w:rPr>
              <w:rFonts w:ascii="Arial" w:eastAsia="Calibri" w:hAnsi="Arial" w:cs="Arial"/>
              <w:sz w:val="20"/>
              <w:szCs w:val="20"/>
            </w:rPr>
          </w:pPr>
          <w:r w:rsidRPr="00BD22ED">
            <w:rPr>
              <w:rFonts w:ascii="Arial" w:eastAsia="Calibri" w:hAnsi="Arial" w:cs="Arial"/>
              <w:sz w:val="20"/>
              <w:szCs w:val="20"/>
            </w:rPr>
            <w:t xml:space="preserve">Číslo verze: </w:t>
          </w:r>
          <w:r w:rsidR="00196C4B" w:rsidRPr="00BD22ED">
            <w:rPr>
              <w:rFonts w:ascii="Arial" w:eastAsia="Calibri" w:hAnsi="Arial" w:cs="Arial"/>
              <w:sz w:val="20"/>
              <w:szCs w:val="20"/>
            </w:rPr>
            <w:t>2</w:t>
          </w:r>
          <w:r w:rsidRPr="00BD22ED">
            <w:rPr>
              <w:rFonts w:ascii="Arial" w:eastAsia="Calibri" w:hAnsi="Arial" w:cs="Arial"/>
              <w:sz w:val="20"/>
              <w:szCs w:val="20"/>
            </w:rPr>
            <w:t xml:space="preserve">.0 </w:t>
          </w:r>
        </w:p>
      </w:tc>
      <w:tc>
        <w:tcPr>
          <w:tcW w:w="3561" w:type="dxa"/>
          <w:shd w:val="clear" w:color="auto" w:fill="auto"/>
        </w:tcPr>
        <w:p w14:paraId="334BFC13" w14:textId="6CACFA7F" w:rsidR="00D477CC" w:rsidRPr="00BD22ED" w:rsidRDefault="00D477CC" w:rsidP="00D477CC">
          <w:pPr>
            <w:tabs>
              <w:tab w:val="right" w:pos="9072"/>
            </w:tabs>
            <w:jc w:val="center"/>
            <w:rPr>
              <w:rFonts w:ascii="Arial" w:hAnsi="Arial" w:cs="Arial"/>
              <w:sz w:val="20"/>
              <w:szCs w:val="20"/>
            </w:rPr>
          </w:pPr>
          <w:r w:rsidRPr="00BD22ED">
            <w:rPr>
              <w:rFonts w:ascii="Arial" w:eastAsia="Calibri" w:hAnsi="Arial" w:cs="Arial"/>
              <w:sz w:val="20"/>
              <w:szCs w:val="20"/>
            </w:rPr>
            <w:t xml:space="preserve">Platnost od: </w:t>
          </w:r>
          <w:r w:rsidR="009153BE" w:rsidRPr="00BD22ED">
            <w:rPr>
              <w:rFonts w:ascii="Arial" w:eastAsia="Calibri" w:hAnsi="Arial" w:cs="Arial"/>
              <w:sz w:val="20"/>
              <w:szCs w:val="20"/>
            </w:rPr>
            <w:t>2</w:t>
          </w:r>
          <w:r w:rsidR="00196C4B" w:rsidRPr="00BD22ED">
            <w:rPr>
              <w:rFonts w:ascii="Arial" w:eastAsia="Calibri" w:hAnsi="Arial" w:cs="Arial"/>
              <w:sz w:val="20"/>
              <w:szCs w:val="20"/>
            </w:rPr>
            <w:t>6</w:t>
          </w:r>
          <w:r w:rsidRPr="00BD22ED">
            <w:rPr>
              <w:rFonts w:ascii="Arial" w:eastAsia="Calibri" w:hAnsi="Arial" w:cs="Arial"/>
              <w:sz w:val="20"/>
              <w:szCs w:val="20"/>
            </w:rPr>
            <w:t>.</w:t>
          </w:r>
          <w:r w:rsidR="00174078" w:rsidRPr="00BD22ED">
            <w:rPr>
              <w:rFonts w:ascii="Arial" w:eastAsia="Calibri" w:hAnsi="Arial" w:cs="Arial"/>
              <w:sz w:val="20"/>
              <w:szCs w:val="20"/>
            </w:rPr>
            <w:t xml:space="preserve"> </w:t>
          </w:r>
          <w:r w:rsidR="009153BE" w:rsidRPr="00BD22ED">
            <w:rPr>
              <w:rFonts w:ascii="Arial" w:eastAsia="Calibri" w:hAnsi="Arial" w:cs="Arial"/>
              <w:sz w:val="20"/>
              <w:szCs w:val="20"/>
            </w:rPr>
            <w:t>8</w:t>
          </w:r>
          <w:r w:rsidRPr="00BD22ED">
            <w:rPr>
              <w:rFonts w:ascii="Arial" w:eastAsia="Calibri" w:hAnsi="Arial" w:cs="Arial"/>
              <w:sz w:val="20"/>
              <w:szCs w:val="20"/>
            </w:rPr>
            <w:t>.</w:t>
          </w:r>
          <w:r w:rsidR="00174078" w:rsidRPr="00BD22ED">
            <w:rPr>
              <w:rFonts w:ascii="Arial" w:eastAsia="Calibri" w:hAnsi="Arial" w:cs="Arial"/>
              <w:sz w:val="20"/>
              <w:szCs w:val="20"/>
            </w:rPr>
            <w:t xml:space="preserve"> </w:t>
          </w:r>
          <w:r w:rsidRPr="00BD22ED">
            <w:rPr>
              <w:rFonts w:ascii="Arial" w:eastAsia="Calibri" w:hAnsi="Arial" w:cs="Arial"/>
              <w:sz w:val="20"/>
              <w:szCs w:val="20"/>
            </w:rPr>
            <w:t>2020</w:t>
          </w:r>
        </w:p>
      </w:tc>
      <w:tc>
        <w:tcPr>
          <w:tcW w:w="3308" w:type="dxa"/>
          <w:shd w:val="clear" w:color="auto" w:fill="auto"/>
        </w:tcPr>
        <w:p w14:paraId="05123980" w14:textId="77777777" w:rsidR="00D477CC" w:rsidRPr="00BD22ED" w:rsidRDefault="00D477CC" w:rsidP="00D477CC">
          <w:pPr>
            <w:tabs>
              <w:tab w:val="right" w:pos="9072"/>
            </w:tabs>
            <w:jc w:val="center"/>
            <w:rPr>
              <w:rFonts w:ascii="Arial" w:hAnsi="Arial" w:cs="Arial"/>
              <w:sz w:val="20"/>
              <w:szCs w:val="20"/>
            </w:rPr>
          </w:pPr>
          <w:r w:rsidRPr="00BD22ED">
            <w:rPr>
              <w:rFonts w:ascii="Arial" w:eastAsia="Calibri" w:hAnsi="Arial" w:cs="Arial"/>
              <w:sz w:val="20"/>
              <w:szCs w:val="20"/>
            </w:rPr>
            <w:t xml:space="preserve"> Strana </w:t>
          </w:r>
          <w:r w:rsidRPr="00BD22ED">
            <w:rPr>
              <w:rFonts w:ascii="Arial" w:hAnsi="Arial" w:cs="Arial"/>
              <w:sz w:val="20"/>
              <w:szCs w:val="20"/>
            </w:rPr>
            <w:fldChar w:fldCharType="begin"/>
          </w:r>
          <w:r w:rsidRPr="00BD22ED">
            <w:rPr>
              <w:rFonts w:ascii="Arial" w:hAnsi="Arial" w:cs="Arial"/>
              <w:sz w:val="20"/>
              <w:szCs w:val="20"/>
            </w:rPr>
            <w:instrText>PAGE</w:instrText>
          </w:r>
          <w:r w:rsidRPr="00BD22ED">
            <w:rPr>
              <w:rFonts w:ascii="Arial" w:hAnsi="Arial" w:cs="Arial"/>
              <w:sz w:val="20"/>
              <w:szCs w:val="20"/>
            </w:rPr>
            <w:fldChar w:fldCharType="separate"/>
          </w:r>
          <w:r w:rsidRPr="00BD22ED">
            <w:rPr>
              <w:rFonts w:ascii="Arial" w:hAnsi="Arial" w:cs="Arial"/>
              <w:noProof/>
              <w:sz w:val="20"/>
              <w:szCs w:val="20"/>
            </w:rPr>
            <w:t>1</w:t>
          </w:r>
          <w:r w:rsidRPr="00BD22ED">
            <w:rPr>
              <w:rFonts w:ascii="Arial" w:hAnsi="Arial" w:cs="Arial"/>
              <w:sz w:val="20"/>
              <w:szCs w:val="20"/>
            </w:rPr>
            <w:fldChar w:fldCharType="end"/>
          </w:r>
          <w:r w:rsidRPr="00BD22ED">
            <w:rPr>
              <w:rFonts w:ascii="Arial" w:eastAsia="Calibri" w:hAnsi="Arial" w:cs="Arial"/>
              <w:sz w:val="20"/>
              <w:szCs w:val="20"/>
            </w:rPr>
            <w:t xml:space="preserve"> (celkem </w:t>
          </w:r>
          <w:r w:rsidRPr="00BD22ED">
            <w:rPr>
              <w:rFonts w:ascii="Arial" w:hAnsi="Arial" w:cs="Arial"/>
              <w:sz w:val="20"/>
              <w:szCs w:val="20"/>
            </w:rPr>
            <w:fldChar w:fldCharType="begin"/>
          </w:r>
          <w:r w:rsidRPr="00BD22ED">
            <w:rPr>
              <w:rFonts w:ascii="Arial" w:hAnsi="Arial" w:cs="Arial"/>
              <w:sz w:val="20"/>
              <w:szCs w:val="20"/>
            </w:rPr>
            <w:instrText>NUMPAGES</w:instrText>
          </w:r>
          <w:r w:rsidRPr="00BD22ED">
            <w:rPr>
              <w:rFonts w:ascii="Arial" w:hAnsi="Arial" w:cs="Arial"/>
              <w:sz w:val="20"/>
              <w:szCs w:val="20"/>
            </w:rPr>
            <w:fldChar w:fldCharType="separate"/>
          </w:r>
          <w:r w:rsidRPr="00BD22ED">
            <w:rPr>
              <w:rFonts w:ascii="Arial" w:hAnsi="Arial" w:cs="Arial"/>
              <w:noProof/>
              <w:sz w:val="20"/>
              <w:szCs w:val="20"/>
            </w:rPr>
            <w:t>1</w:t>
          </w:r>
          <w:r w:rsidRPr="00BD22ED">
            <w:rPr>
              <w:rFonts w:ascii="Arial" w:hAnsi="Arial" w:cs="Arial"/>
              <w:sz w:val="20"/>
              <w:szCs w:val="20"/>
            </w:rPr>
            <w:fldChar w:fldCharType="end"/>
          </w:r>
          <w:r w:rsidRPr="00BD22ED">
            <w:rPr>
              <w:rFonts w:ascii="Arial" w:eastAsia="Calibri" w:hAnsi="Arial" w:cs="Arial"/>
              <w:sz w:val="20"/>
              <w:szCs w:val="20"/>
            </w:rPr>
            <w:t>)</w:t>
          </w:r>
        </w:p>
      </w:tc>
    </w:tr>
  </w:tbl>
  <w:p w14:paraId="01522AD5" w14:textId="058ACC5F" w:rsidR="00D477CC" w:rsidRPr="00BD22ED" w:rsidRDefault="00D477CC" w:rsidP="00D477CC">
    <w:pPr>
      <w:pStyle w:val="Odstavecseseznamem"/>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546A" w14:textId="77777777" w:rsidR="00CE06C0" w:rsidRPr="003F51D8" w:rsidRDefault="00CE06C0">
    <w:pPr>
      <w:pStyle w:val="Zpat"/>
      <w:jc w:val="right"/>
      <w:rPr>
        <w:rFonts w:ascii="Times New Roman" w:hAnsi="Times New Roman" w:cs="Times New Roman"/>
      </w:rPr>
    </w:pPr>
  </w:p>
  <w:p w14:paraId="56D2521B" w14:textId="77777777" w:rsidR="00CE06C0" w:rsidRPr="000B1E35" w:rsidRDefault="00CE06C0" w:rsidP="000B1E35">
    <w:pPr>
      <w:pStyle w:val="Zpat"/>
      <w:jc w:val="center"/>
      <w:rPr>
        <w:rFonts w:ascii="Gill Sans" w:hAnsi="Gill Sans"/>
        <w:sz w:val="18"/>
        <w:szCs w:val="18"/>
      </w:rPr>
    </w:pPr>
    <w:r w:rsidRPr="000B1E35">
      <w:rPr>
        <w:rFonts w:ascii="Gill Sans" w:hAnsi="Gill Sans"/>
        <w:sz w:val="18"/>
        <w:szCs w:val="18"/>
      </w:rPr>
      <w:t>Ministerstvo zdravotnictví</w:t>
    </w:r>
  </w:p>
  <w:p w14:paraId="5DA4A95A" w14:textId="71C2F1E9" w:rsidR="00CE06C0" w:rsidRPr="000B1E35" w:rsidRDefault="00CE06C0" w:rsidP="000B1E35">
    <w:pPr>
      <w:pStyle w:val="Zpat"/>
      <w:jc w:val="center"/>
      <w:rPr>
        <w:rFonts w:ascii="Gill Sans" w:hAnsi="Gill Sans"/>
        <w:sz w:val="18"/>
        <w:szCs w:val="18"/>
      </w:rPr>
    </w:pPr>
    <w:r w:rsidRPr="000B1E35">
      <w:rPr>
        <w:rFonts w:ascii="Gill Sans" w:hAnsi="Gill Sans"/>
        <w:sz w:val="18"/>
        <w:szCs w:val="18"/>
      </w:rPr>
      <w:t xml:space="preserve">Palackého náměstí 4, 128 </w:t>
    </w:r>
    <w:proofErr w:type="gramStart"/>
    <w:r w:rsidRPr="000B1E35">
      <w:rPr>
        <w:rFonts w:ascii="Gill Sans" w:hAnsi="Gill Sans"/>
        <w:sz w:val="18"/>
        <w:szCs w:val="18"/>
      </w:rPr>
      <w:t>01</w:t>
    </w:r>
    <w:r w:rsidR="00E41919">
      <w:rPr>
        <w:rFonts w:ascii="Gill Sans" w:hAnsi="Gill Sans"/>
        <w:sz w:val="18"/>
        <w:szCs w:val="18"/>
      </w:rPr>
      <w:t xml:space="preserve"> </w:t>
    </w:r>
    <w:r w:rsidRPr="000B1E35">
      <w:rPr>
        <w:rFonts w:ascii="Gill Sans" w:hAnsi="Gill Sans"/>
        <w:sz w:val="18"/>
        <w:szCs w:val="18"/>
      </w:rPr>
      <w:t xml:space="preserve"> Praha</w:t>
    </w:r>
    <w:proofErr w:type="gramEnd"/>
    <w:r w:rsidRPr="000B1E35">
      <w:rPr>
        <w:rFonts w:ascii="Gill Sans" w:hAnsi="Gill Sans"/>
        <w:sz w:val="18"/>
        <w:szCs w:val="18"/>
      </w:rPr>
      <w:t xml:space="preserve"> 2</w:t>
    </w:r>
  </w:p>
  <w:p w14:paraId="1101CFD8" w14:textId="0D8F4566" w:rsidR="00CE06C0" w:rsidRDefault="00CE06C0" w:rsidP="005F2685">
    <w:pPr>
      <w:pStyle w:val="Zpat"/>
      <w:tabs>
        <w:tab w:val="clear" w:pos="4536"/>
        <w:tab w:val="clear" w:pos="9072"/>
        <w:tab w:val="center" w:pos="4535"/>
        <w:tab w:val="right" w:pos="9070"/>
      </w:tabs>
      <w:jc w:val="right"/>
    </w:pPr>
    <w:r>
      <w:rPr>
        <w:rFonts w:ascii="Gill Sans" w:hAnsi="Gill Sans"/>
        <w:sz w:val="18"/>
        <w:szCs w:val="18"/>
      </w:rPr>
      <w:tab/>
    </w:r>
    <w:r w:rsidRPr="000B1E35">
      <w:rPr>
        <w:rFonts w:ascii="Gill Sans" w:hAnsi="Gill Sans"/>
        <w:sz w:val="18"/>
        <w:szCs w:val="18"/>
      </w:rPr>
      <w:t>tel./fax: +420 224 971 111, e-mail: mzcr@mzcr.cz, www.mzcr.cz</w:t>
    </w:r>
    <w:r>
      <w:rPr>
        <w:rFonts w:ascii="Gill Sans" w:hAnsi="Gill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4C42" w14:textId="77777777" w:rsidR="00F53FBD" w:rsidRDefault="00F53FBD" w:rsidP="009974F4">
      <w:pPr>
        <w:spacing w:after="0"/>
      </w:pPr>
      <w:r>
        <w:separator/>
      </w:r>
    </w:p>
  </w:footnote>
  <w:footnote w:type="continuationSeparator" w:id="0">
    <w:p w14:paraId="1827056C" w14:textId="77777777" w:rsidR="00F53FBD" w:rsidRDefault="00F53FBD" w:rsidP="009974F4">
      <w:pPr>
        <w:spacing w:after="0"/>
      </w:pPr>
      <w:r>
        <w:continuationSeparator/>
      </w:r>
    </w:p>
  </w:footnote>
  <w:footnote w:id="1">
    <w:p w14:paraId="36BC758C" w14:textId="72DA12A9" w:rsidR="00D477CC" w:rsidRPr="007557FE" w:rsidRDefault="00D477CC">
      <w:pPr>
        <w:pStyle w:val="Textpoznpodarou"/>
        <w:rPr>
          <w:rFonts w:ascii="Arial" w:hAnsi="Arial" w:cs="Arial"/>
          <w:szCs w:val="18"/>
        </w:rPr>
      </w:pPr>
      <w:r w:rsidRPr="007557FE">
        <w:rPr>
          <w:rStyle w:val="Znakapoznpodarou"/>
          <w:rFonts w:ascii="Arial" w:hAnsi="Arial" w:cs="Arial"/>
          <w:szCs w:val="18"/>
        </w:rPr>
        <w:footnoteRef/>
      </w:r>
      <w:r w:rsidRPr="007557FE">
        <w:rPr>
          <w:rFonts w:ascii="Arial" w:hAnsi="Arial" w:cs="Arial"/>
          <w:szCs w:val="18"/>
        </w:rPr>
        <w:t xml:space="preserve"> </w:t>
      </w:r>
      <w:r w:rsidRPr="007557FE">
        <w:rPr>
          <w:rFonts w:ascii="Arial" w:eastAsia="Times New Roman" w:hAnsi="Arial" w:cs="Arial"/>
          <w:color w:val="000000"/>
          <w:szCs w:val="18"/>
        </w:rPr>
        <w:t>Resp. příjemce dotace.</w:t>
      </w:r>
    </w:p>
  </w:footnote>
  <w:footnote w:id="2">
    <w:p w14:paraId="423FD941" w14:textId="77777777" w:rsidR="00176428" w:rsidRPr="007557FE" w:rsidRDefault="00176428" w:rsidP="00176428">
      <w:pPr>
        <w:pStyle w:val="Textpoznpodarou"/>
        <w:rPr>
          <w:rFonts w:ascii="Arial" w:hAnsi="Arial" w:cs="Arial"/>
          <w:szCs w:val="18"/>
        </w:rPr>
      </w:pPr>
      <w:r w:rsidRPr="007557FE">
        <w:rPr>
          <w:rStyle w:val="Znakapoznpodarou"/>
          <w:rFonts w:ascii="Arial" w:hAnsi="Arial" w:cs="Arial"/>
          <w:szCs w:val="18"/>
        </w:rPr>
        <w:footnoteRef/>
      </w:r>
      <w:r w:rsidRPr="007557FE">
        <w:rPr>
          <w:rFonts w:ascii="Arial" w:hAnsi="Arial" w:cs="Arial"/>
          <w:szCs w:val="18"/>
        </w:rPr>
        <w:t xml:space="preserve"> </w:t>
      </w:r>
      <w:r w:rsidRPr="007557FE">
        <w:rPr>
          <w:rFonts w:ascii="Arial" w:eastAsia="Times New Roman" w:hAnsi="Arial" w:cs="Arial"/>
          <w:color w:val="000000"/>
          <w:szCs w:val="18"/>
        </w:rPr>
        <w:t>Zkratka KA označuje klíčové aktivity (KA) dle Projektu.</w:t>
      </w:r>
    </w:p>
  </w:footnote>
  <w:footnote w:id="3">
    <w:p w14:paraId="78C580DE" w14:textId="2C0D483B" w:rsidR="00291847" w:rsidRPr="007557FE" w:rsidRDefault="00291847" w:rsidP="00291847">
      <w:pPr>
        <w:pBdr>
          <w:top w:val="nil"/>
          <w:left w:val="nil"/>
          <w:bottom w:val="nil"/>
          <w:right w:val="nil"/>
          <w:between w:val="nil"/>
        </w:pBdr>
        <w:rPr>
          <w:rFonts w:ascii="Arial" w:eastAsia="Times New Roman" w:hAnsi="Arial" w:cs="Arial"/>
          <w:color w:val="000000"/>
          <w:sz w:val="18"/>
          <w:szCs w:val="18"/>
        </w:rPr>
      </w:pPr>
      <w:r w:rsidRPr="007557FE">
        <w:rPr>
          <w:rFonts w:ascii="Arial" w:hAnsi="Arial" w:cs="Arial"/>
          <w:sz w:val="18"/>
          <w:szCs w:val="18"/>
          <w:vertAlign w:val="superscript"/>
        </w:rPr>
        <w:footnoteRef/>
      </w:r>
      <w:r w:rsidRPr="007557FE">
        <w:rPr>
          <w:rFonts w:ascii="Arial" w:eastAsia="Times New Roman" w:hAnsi="Arial" w:cs="Arial"/>
          <w:sz w:val="18"/>
          <w:szCs w:val="18"/>
        </w:rPr>
        <w:t xml:space="preserve"> </w:t>
      </w:r>
      <w:r w:rsidRPr="007557FE">
        <w:rPr>
          <w:rFonts w:ascii="Arial" w:eastAsia="Times New Roman" w:hAnsi="Arial" w:cs="Arial"/>
          <w:color w:val="000000"/>
          <w:sz w:val="18"/>
          <w:szCs w:val="18"/>
        </w:rPr>
        <w:t>O vydání nové revize Pravidel</w:t>
      </w:r>
      <w:r w:rsidR="009B33A3" w:rsidRPr="007557FE">
        <w:rPr>
          <w:rFonts w:ascii="Arial" w:eastAsia="Times New Roman" w:hAnsi="Arial" w:cs="Arial"/>
          <w:color w:val="000000"/>
          <w:sz w:val="18"/>
          <w:szCs w:val="18"/>
        </w:rPr>
        <w:t xml:space="preserve"> </w:t>
      </w:r>
      <w:r w:rsidRPr="007557FE">
        <w:rPr>
          <w:rFonts w:ascii="Arial" w:eastAsia="Times New Roman" w:hAnsi="Arial" w:cs="Arial"/>
          <w:color w:val="000000"/>
          <w:sz w:val="18"/>
          <w:szCs w:val="18"/>
        </w:rPr>
        <w:t>uvědomí Poskytovatel dotace Příjemce bez zbytečného odkladu elektronickou formou na kontaktní e</w:t>
      </w:r>
      <w:r w:rsidRPr="007557FE">
        <w:rPr>
          <w:rFonts w:ascii="Arial" w:eastAsia="Times New Roman" w:hAnsi="Arial" w:cs="Arial"/>
          <w:sz w:val="18"/>
          <w:szCs w:val="18"/>
        </w:rPr>
        <w:t>-</w:t>
      </w:r>
      <w:r w:rsidRPr="007557FE">
        <w:rPr>
          <w:rFonts w:ascii="Arial" w:eastAsia="Times New Roman" w:hAnsi="Arial" w:cs="Arial"/>
          <w:color w:val="000000"/>
          <w:sz w:val="18"/>
          <w:szCs w:val="18"/>
        </w:rPr>
        <w:t xml:space="preserve">mailovou adresu </w:t>
      </w:r>
      <w:r w:rsidRPr="007557FE">
        <w:rPr>
          <w:rFonts w:ascii="Arial" w:eastAsia="Times New Roman" w:hAnsi="Arial" w:cs="Arial"/>
          <w:sz w:val="18"/>
          <w:szCs w:val="18"/>
        </w:rPr>
        <w:t>P</w:t>
      </w:r>
      <w:r w:rsidRPr="007557FE">
        <w:rPr>
          <w:rFonts w:ascii="Arial" w:eastAsia="Times New Roman" w:hAnsi="Arial" w:cs="Arial"/>
          <w:color w:val="000000"/>
          <w:sz w:val="18"/>
          <w:szCs w:val="18"/>
        </w:rPr>
        <w:t>říjemce.</w:t>
      </w:r>
    </w:p>
  </w:footnote>
  <w:footnote w:id="4">
    <w:p w14:paraId="1563EE48" w14:textId="3E97BC57" w:rsidR="001768B2" w:rsidRPr="007557FE" w:rsidRDefault="001768B2" w:rsidP="001768B2">
      <w:pPr>
        <w:pStyle w:val="Textpoznpodarou"/>
        <w:rPr>
          <w:rFonts w:ascii="Arial" w:hAnsi="Arial" w:cs="Arial"/>
          <w:szCs w:val="18"/>
        </w:rPr>
      </w:pPr>
      <w:r w:rsidRPr="007557FE">
        <w:rPr>
          <w:rStyle w:val="Znakapoznpodarou"/>
          <w:rFonts w:ascii="Arial" w:hAnsi="Arial" w:cs="Arial"/>
          <w:szCs w:val="18"/>
        </w:rPr>
        <w:footnoteRef/>
      </w:r>
      <w:r w:rsidRPr="007557FE">
        <w:rPr>
          <w:rFonts w:ascii="Arial" w:hAnsi="Arial" w:cs="Arial"/>
          <w:szCs w:val="18"/>
        </w:rPr>
        <w:t xml:space="preserve"> </w:t>
      </w:r>
      <w:r w:rsidRPr="007557FE">
        <w:rPr>
          <w:rFonts w:ascii="Arial" w:eastAsia="Times New Roman" w:hAnsi="Arial" w:cs="Arial"/>
          <w:color w:val="000000"/>
          <w:szCs w:val="18"/>
        </w:rPr>
        <w:t xml:space="preserve">Projekt bude ukončen začátkem roku 2023, a proto tato lhůta začne běžet 1. 1. 2024. V případě prodloužení realizace </w:t>
      </w:r>
      <w:r w:rsidR="009C112A" w:rsidRPr="007557FE">
        <w:rPr>
          <w:rFonts w:ascii="Arial" w:eastAsia="Times New Roman" w:hAnsi="Arial" w:cs="Arial"/>
          <w:color w:val="000000"/>
          <w:szCs w:val="18"/>
        </w:rPr>
        <w:t>P</w:t>
      </w:r>
      <w:r w:rsidRPr="007557FE">
        <w:rPr>
          <w:rFonts w:ascii="Arial" w:eastAsia="Times New Roman" w:hAnsi="Arial" w:cs="Arial"/>
          <w:color w:val="000000"/>
          <w:szCs w:val="18"/>
        </w:rPr>
        <w:t>rojektu, a tedy změny této lhůty, bude Poskytovatel dotace informovat Příjemce.</w:t>
      </w:r>
    </w:p>
  </w:footnote>
  <w:footnote w:id="5">
    <w:p w14:paraId="71533DD5" w14:textId="4821D65D" w:rsidR="00BF5EE7" w:rsidRPr="007557FE" w:rsidRDefault="00BF5EE7">
      <w:pPr>
        <w:pStyle w:val="Textpoznpodarou"/>
        <w:rPr>
          <w:rFonts w:ascii="Arial" w:hAnsi="Arial" w:cs="Arial"/>
          <w:szCs w:val="18"/>
        </w:rPr>
      </w:pPr>
      <w:r w:rsidRPr="007557FE">
        <w:rPr>
          <w:rStyle w:val="Znakapoznpodarou"/>
          <w:rFonts w:ascii="Arial" w:hAnsi="Arial" w:cs="Arial"/>
          <w:szCs w:val="18"/>
        </w:rPr>
        <w:footnoteRef/>
      </w:r>
      <w:r w:rsidRPr="007557FE">
        <w:rPr>
          <w:rFonts w:ascii="Arial" w:hAnsi="Arial" w:cs="Arial"/>
          <w:szCs w:val="18"/>
        </w:rPr>
        <w:t xml:space="preserve"> </w:t>
      </w:r>
      <w:r w:rsidRPr="007557FE">
        <w:rPr>
          <w:rFonts w:ascii="Arial" w:eastAsia="Times New Roman" w:hAnsi="Arial" w:cs="Arial"/>
          <w:color w:val="000000"/>
          <w:szCs w:val="18"/>
        </w:rPr>
        <w:t>Projekt bude ukončen začátkem roku 2023, a proto tato lhůta začne běžet 1. 1. 2024. V případě prodloužení realizace Projektu, a tedy změny této lhůty, bude Poskytovatel dotace informovat Příjemce.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2804" w14:textId="7FBC03D5" w:rsidR="001958E6" w:rsidRDefault="009E7AF6" w:rsidP="001958E6">
    <w:pPr>
      <w:pStyle w:val="Zhlav"/>
      <w:tabs>
        <w:tab w:val="clear" w:pos="4536"/>
        <w:tab w:val="clear" w:pos="9072"/>
        <w:tab w:val="left" w:pos="2525"/>
      </w:tabs>
      <w:rPr>
        <w:noProof/>
      </w:rPr>
    </w:pPr>
    <w:r>
      <w:rPr>
        <w:noProof/>
      </w:rPr>
      <w:drawing>
        <wp:anchor distT="0" distB="0" distL="114300" distR="114300" simplePos="0" relativeHeight="251665408" behindDoc="0" locked="0" layoutInCell="1" allowOverlap="1" wp14:anchorId="7DCC96E0" wp14:editId="0BCDDA94">
          <wp:simplePos x="0" y="0"/>
          <wp:positionH relativeFrom="column">
            <wp:posOffset>3614420</wp:posOffset>
          </wp:positionH>
          <wp:positionV relativeFrom="paragraph">
            <wp:posOffset>5715</wp:posOffset>
          </wp:positionV>
          <wp:extent cx="2426335" cy="506095"/>
          <wp:effectExtent l="0" t="0" r="0"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506095"/>
                  </a:xfrm>
                  <a:prstGeom prst="rect">
                    <a:avLst/>
                  </a:prstGeom>
                  <a:noFill/>
                </pic:spPr>
              </pic:pic>
            </a:graphicData>
          </a:graphic>
        </wp:anchor>
      </w:drawing>
    </w:r>
    <w:r>
      <w:rPr>
        <w:noProof/>
      </w:rPr>
      <w:drawing>
        <wp:inline distT="0" distB="0" distL="0" distR="0" wp14:anchorId="090B6C90" wp14:editId="7BA11B3C">
          <wp:extent cx="2188845" cy="450850"/>
          <wp:effectExtent l="0" t="0" r="190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450850"/>
                  </a:xfrm>
                  <a:prstGeom prst="rect">
                    <a:avLst/>
                  </a:prstGeom>
                  <a:noFill/>
                </pic:spPr>
              </pic:pic>
            </a:graphicData>
          </a:graphic>
        </wp:inline>
      </w:drawing>
    </w:r>
    <w:r w:rsidR="001958E6">
      <w:rPr>
        <w:noProof/>
      </w:rPr>
      <w:t xml:space="preserve"> </w:t>
    </w:r>
  </w:p>
  <w:p w14:paraId="6A3D4B6E" w14:textId="4C839C98" w:rsidR="001958E6" w:rsidRDefault="001958E6" w:rsidP="001958E6">
    <w:pPr>
      <w:pStyle w:val="Zhlav"/>
      <w:tabs>
        <w:tab w:val="clear" w:pos="4536"/>
        <w:tab w:val="clear" w:pos="9072"/>
        <w:tab w:val="left" w:pos="2525"/>
      </w:tabs>
      <w:rPr>
        <w:noProof/>
      </w:rPr>
    </w:pPr>
  </w:p>
  <w:p w14:paraId="701B40B1" w14:textId="608DBF75" w:rsidR="001958E6" w:rsidRDefault="001958E6" w:rsidP="001958E6">
    <w:pPr>
      <w:pStyle w:val="Zhlav"/>
      <w:tabs>
        <w:tab w:val="clear" w:pos="4536"/>
        <w:tab w:val="clear" w:pos="9072"/>
        <w:tab w:val="left" w:pos="2525"/>
      </w:tabs>
      <w:rPr>
        <w:noProof/>
      </w:rPr>
    </w:pPr>
  </w:p>
  <w:p w14:paraId="38F6E0C4" w14:textId="77777777" w:rsidR="001958E6" w:rsidRDefault="001958E6" w:rsidP="001958E6">
    <w:pPr>
      <w:pStyle w:val="Zhlav"/>
      <w:tabs>
        <w:tab w:val="clear" w:pos="4536"/>
        <w:tab w:val="clear" w:pos="9072"/>
        <w:tab w:val="left" w:pos="25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4AB0" w14:textId="1262BA64" w:rsidR="000B1E35" w:rsidRPr="00173038" w:rsidRDefault="009E7AF6" w:rsidP="000B1E35">
    <w:pPr>
      <w:pStyle w:val="Zhlav"/>
      <w:tabs>
        <w:tab w:val="clear" w:pos="4536"/>
        <w:tab w:val="clear" w:pos="9072"/>
        <w:tab w:val="left" w:pos="3060"/>
        <w:tab w:val="center" w:pos="4309"/>
      </w:tabs>
      <w:spacing w:line="260" w:lineRule="exact"/>
      <w:rPr>
        <w:sz w:val="20"/>
        <w:szCs w:val="20"/>
      </w:rPr>
    </w:pPr>
    <w:bookmarkStart w:id="14" w:name="_Hlk29194566"/>
    <w:r w:rsidRPr="002D5521">
      <w:rPr>
        <w:noProof/>
        <w:sz w:val="20"/>
        <w:szCs w:val="20"/>
      </w:rPr>
      <w:drawing>
        <wp:anchor distT="0" distB="0" distL="114300" distR="114300" simplePos="0" relativeHeight="251663360" behindDoc="0" locked="0" layoutInCell="1" allowOverlap="1" wp14:anchorId="16DE159E" wp14:editId="58E95A67">
          <wp:simplePos x="0" y="0"/>
          <wp:positionH relativeFrom="margin">
            <wp:posOffset>-19050</wp:posOffset>
          </wp:positionH>
          <wp:positionV relativeFrom="paragraph">
            <wp:posOffset>38735</wp:posOffset>
          </wp:positionV>
          <wp:extent cx="2191385" cy="450850"/>
          <wp:effectExtent l="0" t="0" r="0" b="635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138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521">
      <w:rPr>
        <w:noProof/>
        <w:sz w:val="20"/>
        <w:szCs w:val="20"/>
      </w:rPr>
      <w:drawing>
        <wp:anchor distT="0" distB="0" distL="114300" distR="114300" simplePos="0" relativeHeight="251664384" behindDoc="0" locked="0" layoutInCell="1" allowOverlap="1" wp14:anchorId="73DAD0A7" wp14:editId="4406BE29">
          <wp:simplePos x="0" y="0"/>
          <wp:positionH relativeFrom="margin">
            <wp:posOffset>3578225</wp:posOffset>
          </wp:positionH>
          <wp:positionV relativeFrom="paragraph">
            <wp:posOffset>45720</wp:posOffset>
          </wp:positionV>
          <wp:extent cx="2428875" cy="504825"/>
          <wp:effectExtent l="0" t="0" r="9525" b="952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E311B" w14:textId="482A1B36" w:rsidR="000B1E35" w:rsidRPr="00173038" w:rsidRDefault="000B1E35" w:rsidP="000B1E35">
    <w:pPr>
      <w:pStyle w:val="Zhlav"/>
      <w:tabs>
        <w:tab w:val="clear" w:pos="4536"/>
        <w:tab w:val="clear" w:pos="9072"/>
        <w:tab w:val="center" w:pos="4309"/>
      </w:tabs>
      <w:spacing w:line="260" w:lineRule="exact"/>
      <w:rPr>
        <w:sz w:val="20"/>
        <w:szCs w:val="20"/>
      </w:rPr>
    </w:pPr>
  </w:p>
  <w:p w14:paraId="2C3E9A26" w14:textId="1A0E0AB1" w:rsidR="000B1E35" w:rsidRPr="00173038" w:rsidRDefault="000B1E35" w:rsidP="000B1E35">
    <w:pPr>
      <w:pStyle w:val="Zhlav"/>
      <w:tabs>
        <w:tab w:val="clear" w:pos="4536"/>
        <w:tab w:val="clear" w:pos="9072"/>
        <w:tab w:val="center" w:pos="4309"/>
      </w:tabs>
      <w:spacing w:line="260" w:lineRule="exact"/>
      <w:rPr>
        <w:sz w:val="20"/>
        <w:szCs w:val="20"/>
      </w:rPr>
    </w:pPr>
  </w:p>
  <w:p w14:paraId="78AC6643" w14:textId="5CCFA7C7" w:rsidR="000B1E35" w:rsidRPr="00173038" w:rsidRDefault="000B1E35" w:rsidP="000B1E35">
    <w:pPr>
      <w:pStyle w:val="Zhlav"/>
      <w:tabs>
        <w:tab w:val="clear" w:pos="4536"/>
        <w:tab w:val="clear" w:pos="9072"/>
        <w:tab w:val="center" w:pos="4309"/>
      </w:tabs>
      <w:spacing w:line="260" w:lineRule="exact"/>
      <w:rPr>
        <w:sz w:val="20"/>
        <w:szCs w:val="20"/>
      </w:rPr>
    </w:pPr>
  </w:p>
  <w:p w14:paraId="08DC1CF7" w14:textId="77777777" w:rsidR="000B1E35" w:rsidRDefault="000B1E35" w:rsidP="000B1E35">
    <w:pPr>
      <w:pStyle w:val="Zhlav"/>
      <w:tabs>
        <w:tab w:val="clear" w:pos="4536"/>
        <w:tab w:val="clear" w:pos="9072"/>
        <w:tab w:val="center" w:pos="4309"/>
      </w:tabs>
      <w:spacing w:line="260" w:lineRule="exact"/>
      <w:rPr>
        <w:sz w:val="20"/>
        <w:szCs w:val="20"/>
      </w:rPr>
    </w:pPr>
  </w:p>
  <w:p w14:paraId="15CB137C" w14:textId="77777777" w:rsidR="002D5521" w:rsidRDefault="002D5521" w:rsidP="000B1E35">
    <w:pPr>
      <w:pStyle w:val="Zhlav"/>
      <w:tabs>
        <w:tab w:val="clear" w:pos="4536"/>
        <w:tab w:val="center" w:pos="-3060"/>
      </w:tabs>
      <w:ind w:left="181"/>
      <w:jc w:val="center"/>
      <w:rPr>
        <w:rFonts w:ascii="Gill Sans" w:hAnsi="Gill Sans"/>
        <w:color w:val="333333"/>
        <w:sz w:val="20"/>
        <w:szCs w:val="20"/>
      </w:rPr>
    </w:pPr>
  </w:p>
  <w:p w14:paraId="54CE8980" w14:textId="77777777" w:rsidR="002D5521" w:rsidRDefault="002D5521" w:rsidP="000B1E35">
    <w:pPr>
      <w:pStyle w:val="Zhlav"/>
      <w:tabs>
        <w:tab w:val="clear" w:pos="4536"/>
        <w:tab w:val="center" w:pos="-3060"/>
      </w:tabs>
      <w:ind w:left="181"/>
      <w:jc w:val="center"/>
      <w:rPr>
        <w:rFonts w:ascii="Gill Sans" w:hAnsi="Gill Sans"/>
        <w:color w:val="333333"/>
        <w:sz w:val="20"/>
        <w:szCs w:val="20"/>
      </w:rPr>
    </w:pPr>
  </w:p>
  <w:bookmarkEnd w:id="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2AB0" w14:textId="757B1B67" w:rsidR="00CE06C0" w:rsidRPr="00CE06C0" w:rsidRDefault="00CE06C0" w:rsidP="00CE06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518"/>
    <w:multiLevelType w:val="multilevel"/>
    <w:tmpl w:val="E3A496DC"/>
    <w:lvl w:ilvl="0">
      <w:start w:val="1"/>
      <w:numFmt w:val="decimal"/>
      <w:lvlText w:val="%1."/>
      <w:lvlJc w:val="left"/>
      <w:pPr>
        <w:ind w:left="360" w:hanging="360"/>
      </w:pPr>
      <w:rPr>
        <w:sz w:val="22"/>
        <w:szCs w:val="22"/>
      </w:r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F7280B"/>
    <w:multiLevelType w:val="multilevel"/>
    <w:tmpl w:val="EB6AF5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F1FE7"/>
    <w:multiLevelType w:val="multilevel"/>
    <w:tmpl w:val="2C5E9C84"/>
    <w:lvl w:ilvl="0">
      <w:start w:val="1"/>
      <w:numFmt w:val="decimal"/>
      <w:lvlText w:val="%1."/>
      <w:lvlJc w:val="left"/>
      <w:pPr>
        <w:ind w:left="360" w:hanging="360"/>
      </w:pPr>
      <w:rPr>
        <w:sz w:val="22"/>
        <w:szCs w:val="22"/>
      </w:r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2C2104"/>
    <w:multiLevelType w:val="multilevel"/>
    <w:tmpl w:val="F1C253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D67AE6"/>
    <w:multiLevelType w:val="multilevel"/>
    <w:tmpl w:val="F1C253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B2A1F59"/>
    <w:multiLevelType w:val="multilevel"/>
    <w:tmpl w:val="6ABE6C2C"/>
    <w:lvl w:ilvl="0">
      <w:start w:val="1"/>
      <w:numFmt w:val="decimal"/>
      <w:pStyle w:val="slovanseznam"/>
      <w:lvlText w:val="%1."/>
      <w:lvlJc w:val="left"/>
      <w:pPr>
        <w:tabs>
          <w:tab w:val="num" w:pos="360"/>
        </w:tabs>
        <w:ind w:left="360" w:hanging="360"/>
      </w:pPr>
      <w:rPr>
        <w:rFonts w:cs="Times New Roman" w:hint="default"/>
        <w:b/>
        <w:bCs/>
        <w:i w:val="0"/>
        <w:iCs/>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B6923FA"/>
    <w:multiLevelType w:val="multilevel"/>
    <w:tmpl w:val="C1C2CE7C"/>
    <w:lvl w:ilvl="0">
      <w:start w:val="1"/>
      <w:numFmt w:val="decimal"/>
      <w:lvlText w:val="%1."/>
      <w:lvlJc w:val="left"/>
      <w:pPr>
        <w:ind w:left="360" w:hanging="360"/>
      </w:pPr>
      <w:rPr>
        <w:sz w:val="22"/>
        <w:szCs w:val="22"/>
      </w:r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92B5BE9"/>
    <w:multiLevelType w:val="hybridMultilevel"/>
    <w:tmpl w:val="3CA4CC30"/>
    <w:lvl w:ilvl="0" w:tplc="DB6E8386">
      <w:start w:val="1"/>
      <w:numFmt w:val="decimal"/>
      <w:pStyle w:val="ustanoven"/>
      <w:lvlText w:val="%1."/>
      <w:lvlJc w:val="left"/>
      <w:pPr>
        <w:tabs>
          <w:tab w:val="num" w:pos="717"/>
        </w:tabs>
        <w:ind w:left="717" w:hanging="360"/>
      </w:pPr>
      <w:rPr>
        <w:rFonts w:hint="default"/>
        <w:b/>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8" w15:restartNumberingAfterBreak="0">
    <w:nsid w:val="586D1E65"/>
    <w:multiLevelType w:val="multilevel"/>
    <w:tmpl w:val="8ED610B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A2C11F8"/>
    <w:multiLevelType w:val="multilevel"/>
    <w:tmpl w:val="1770907E"/>
    <w:lvl w:ilvl="0">
      <w:start w:val="1"/>
      <w:numFmt w:val="lowerLetter"/>
      <w:lvlText w:val="%1)"/>
      <w:lvlJc w:val="left"/>
      <w:pPr>
        <w:ind w:left="360" w:firstLine="0"/>
      </w:pPr>
      <w:rPr>
        <w:rFonts w:hint="default"/>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15:restartNumberingAfterBreak="0">
    <w:nsid w:val="60672906"/>
    <w:multiLevelType w:val="hybridMultilevel"/>
    <w:tmpl w:val="192ABA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EB6823"/>
    <w:multiLevelType w:val="multilevel"/>
    <w:tmpl w:val="91A63198"/>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66E5256C"/>
    <w:multiLevelType w:val="multilevel"/>
    <w:tmpl w:val="D89C7804"/>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67711F06"/>
    <w:multiLevelType w:val="multilevel"/>
    <w:tmpl w:val="8ED610B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7A45BB1"/>
    <w:multiLevelType w:val="multilevel"/>
    <w:tmpl w:val="A1F2535E"/>
    <w:lvl w:ilvl="0">
      <w:start w:val="1"/>
      <w:numFmt w:val="decimal"/>
      <w:lvlText w:val="%1."/>
      <w:lvlJc w:val="left"/>
      <w:pPr>
        <w:ind w:left="360" w:hanging="360"/>
      </w:pPr>
      <w:rPr>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70344917"/>
    <w:multiLevelType w:val="multilevel"/>
    <w:tmpl w:val="B022AFA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731134CF"/>
    <w:multiLevelType w:val="multilevel"/>
    <w:tmpl w:val="3D72C42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75EB7B86"/>
    <w:multiLevelType w:val="multilevel"/>
    <w:tmpl w:val="22602F06"/>
    <w:lvl w:ilvl="0">
      <w:start w:val="1"/>
      <w:numFmt w:val="decimal"/>
      <w:lvlText w:val="%1."/>
      <w:lvlJc w:val="left"/>
      <w:pPr>
        <w:ind w:left="360" w:hanging="360"/>
      </w:pPr>
      <w:rPr>
        <w:sz w:val="22"/>
        <w:szCs w:val="22"/>
      </w:r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BCB68F3"/>
    <w:multiLevelType w:val="multilevel"/>
    <w:tmpl w:val="0C8E1492"/>
    <w:lvl w:ilvl="0">
      <w:start w:val="1"/>
      <w:numFmt w:val="decimal"/>
      <w:lvlText w:val="%1."/>
      <w:lvlJc w:val="left"/>
      <w:pPr>
        <w:ind w:left="360" w:hanging="360"/>
      </w:pPr>
      <w:rPr>
        <w:sz w:val="22"/>
        <w:szCs w:val="22"/>
      </w:r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4"/>
  </w:num>
  <w:num w:numId="3">
    <w:abstractNumId w:val="3"/>
  </w:num>
  <w:num w:numId="4">
    <w:abstractNumId w:val="12"/>
  </w:num>
  <w:num w:numId="5">
    <w:abstractNumId w:val="15"/>
  </w:num>
  <w:num w:numId="6">
    <w:abstractNumId w:val="5"/>
  </w:num>
  <w:num w:numId="7">
    <w:abstractNumId w:val="7"/>
  </w:num>
  <w:num w:numId="8">
    <w:abstractNumId w:val="17"/>
  </w:num>
  <w:num w:numId="9">
    <w:abstractNumId w:val="6"/>
  </w:num>
  <w:num w:numId="10">
    <w:abstractNumId w:val="2"/>
  </w:num>
  <w:num w:numId="11">
    <w:abstractNumId w:val="0"/>
  </w:num>
  <w:num w:numId="12">
    <w:abstractNumId w:val="18"/>
  </w:num>
  <w:num w:numId="13">
    <w:abstractNumId w:val="10"/>
  </w:num>
  <w:num w:numId="14">
    <w:abstractNumId w:val="9"/>
  </w:num>
  <w:num w:numId="15">
    <w:abstractNumId w:val="1"/>
  </w:num>
  <w:num w:numId="16">
    <w:abstractNumId w:val="16"/>
  </w:num>
  <w:num w:numId="17">
    <w:abstractNumId w:val="8"/>
  </w:num>
  <w:num w:numId="18">
    <w:abstractNumId w:val="13"/>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42"/>
    <w:rsid w:val="00011FC0"/>
    <w:rsid w:val="00017889"/>
    <w:rsid w:val="00031AFD"/>
    <w:rsid w:val="00032773"/>
    <w:rsid w:val="000329AF"/>
    <w:rsid w:val="00043137"/>
    <w:rsid w:val="00044453"/>
    <w:rsid w:val="00056365"/>
    <w:rsid w:val="000660F9"/>
    <w:rsid w:val="00082A53"/>
    <w:rsid w:val="000948B4"/>
    <w:rsid w:val="0009752A"/>
    <w:rsid w:val="000B1E35"/>
    <w:rsid w:val="000B30CF"/>
    <w:rsid w:val="000B36BE"/>
    <w:rsid w:val="000B4CC9"/>
    <w:rsid w:val="000C163D"/>
    <w:rsid w:val="000E1975"/>
    <w:rsid w:val="000E207C"/>
    <w:rsid w:val="000E41EA"/>
    <w:rsid w:val="000E455A"/>
    <w:rsid w:val="0013024E"/>
    <w:rsid w:val="00137165"/>
    <w:rsid w:val="00162A31"/>
    <w:rsid w:val="00164E42"/>
    <w:rsid w:val="00167918"/>
    <w:rsid w:val="00174078"/>
    <w:rsid w:val="00176428"/>
    <w:rsid w:val="001768B2"/>
    <w:rsid w:val="00191BE2"/>
    <w:rsid w:val="001958E6"/>
    <w:rsid w:val="00195C22"/>
    <w:rsid w:val="00196C4B"/>
    <w:rsid w:val="001B44CD"/>
    <w:rsid w:val="001C0946"/>
    <w:rsid w:val="001D2727"/>
    <w:rsid w:val="001F2C32"/>
    <w:rsid w:val="001F52F7"/>
    <w:rsid w:val="00201061"/>
    <w:rsid w:val="00215436"/>
    <w:rsid w:val="002200CA"/>
    <w:rsid w:val="00230E26"/>
    <w:rsid w:val="002336A7"/>
    <w:rsid w:val="002536B9"/>
    <w:rsid w:val="00257E6A"/>
    <w:rsid w:val="0026223B"/>
    <w:rsid w:val="00291847"/>
    <w:rsid w:val="0029477E"/>
    <w:rsid w:val="0029652D"/>
    <w:rsid w:val="002A01E7"/>
    <w:rsid w:val="002C007A"/>
    <w:rsid w:val="002C1642"/>
    <w:rsid w:val="002C59CE"/>
    <w:rsid w:val="002D0DA8"/>
    <w:rsid w:val="002D4FA1"/>
    <w:rsid w:val="002D5521"/>
    <w:rsid w:val="002E1820"/>
    <w:rsid w:val="002E4C1F"/>
    <w:rsid w:val="00304CCB"/>
    <w:rsid w:val="00307092"/>
    <w:rsid w:val="0032094E"/>
    <w:rsid w:val="003569F9"/>
    <w:rsid w:val="00370D9A"/>
    <w:rsid w:val="0037538B"/>
    <w:rsid w:val="003807D0"/>
    <w:rsid w:val="003E14C5"/>
    <w:rsid w:val="003F51D8"/>
    <w:rsid w:val="004026EC"/>
    <w:rsid w:val="00413D8A"/>
    <w:rsid w:val="00415A57"/>
    <w:rsid w:val="004333C7"/>
    <w:rsid w:val="00433D70"/>
    <w:rsid w:val="0044107A"/>
    <w:rsid w:val="004464B4"/>
    <w:rsid w:val="004620E2"/>
    <w:rsid w:val="00466757"/>
    <w:rsid w:val="00471D38"/>
    <w:rsid w:val="00472BC6"/>
    <w:rsid w:val="004876E2"/>
    <w:rsid w:val="00495DE0"/>
    <w:rsid w:val="004A083D"/>
    <w:rsid w:val="004A66F1"/>
    <w:rsid w:val="004B38AA"/>
    <w:rsid w:val="004B4875"/>
    <w:rsid w:val="004C03B1"/>
    <w:rsid w:val="004C3C18"/>
    <w:rsid w:val="004C7857"/>
    <w:rsid w:val="004D05AC"/>
    <w:rsid w:val="004D12F0"/>
    <w:rsid w:val="004D4943"/>
    <w:rsid w:val="004F5ADC"/>
    <w:rsid w:val="00503705"/>
    <w:rsid w:val="00531ADF"/>
    <w:rsid w:val="005323B6"/>
    <w:rsid w:val="00535215"/>
    <w:rsid w:val="0054767C"/>
    <w:rsid w:val="00551707"/>
    <w:rsid w:val="00551DC9"/>
    <w:rsid w:val="0056317C"/>
    <w:rsid w:val="00570DBB"/>
    <w:rsid w:val="00580B68"/>
    <w:rsid w:val="00596449"/>
    <w:rsid w:val="005B15C0"/>
    <w:rsid w:val="005B74BF"/>
    <w:rsid w:val="005B7C70"/>
    <w:rsid w:val="005D5793"/>
    <w:rsid w:val="005F00EB"/>
    <w:rsid w:val="005F1789"/>
    <w:rsid w:val="005F2685"/>
    <w:rsid w:val="006024C6"/>
    <w:rsid w:val="0060750A"/>
    <w:rsid w:val="006102F9"/>
    <w:rsid w:val="006166FE"/>
    <w:rsid w:val="00622155"/>
    <w:rsid w:val="0063422B"/>
    <w:rsid w:val="00646EBF"/>
    <w:rsid w:val="00656BEC"/>
    <w:rsid w:val="00680F35"/>
    <w:rsid w:val="00684751"/>
    <w:rsid w:val="00695E96"/>
    <w:rsid w:val="006A6E20"/>
    <w:rsid w:val="006B1F22"/>
    <w:rsid w:val="006C2C04"/>
    <w:rsid w:val="006C660D"/>
    <w:rsid w:val="006F0637"/>
    <w:rsid w:val="006F2085"/>
    <w:rsid w:val="006F37E4"/>
    <w:rsid w:val="006F5178"/>
    <w:rsid w:val="006F7D4C"/>
    <w:rsid w:val="00700764"/>
    <w:rsid w:val="0070154B"/>
    <w:rsid w:val="00716053"/>
    <w:rsid w:val="00741710"/>
    <w:rsid w:val="0074244A"/>
    <w:rsid w:val="007557FE"/>
    <w:rsid w:val="007833ED"/>
    <w:rsid w:val="00787450"/>
    <w:rsid w:val="00790599"/>
    <w:rsid w:val="00793B4F"/>
    <w:rsid w:val="00794878"/>
    <w:rsid w:val="007A035B"/>
    <w:rsid w:val="007A203B"/>
    <w:rsid w:val="007B10F0"/>
    <w:rsid w:val="007D31F3"/>
    <w:rsid w:val="00804650"/>
    <w:rsid w:val="00804CED"/>
    <w:rsid w:val="00810032"/>
    <w:rsid w:val="008100D3"/>
    <w:rsid w:val="0081587A"/>
    <w:rsid w:val="00836CAF"/>
    <w:rsid w:val="0084401C"/>
    <w:rsid w:val="00853B24"/>
    <w:rsid w:val="0086323D"/>
    <w:rsid w:val="008719F7"/>
    <w:rsid w:val="00874EEE"/>
    <w:rsid w:val="00880D8A"/>
    <w:rsid w:val="00884C33"/>
    <w:rsid w:val="00894C3D"/>
    <w:rsid w:val="008B05E1"/>
    <w:rsid w:val="008E5661"/>
    <w:rsid w:val="008F1C8B"/>
    <w:rsid w:val="008F24B2"/>
    <w:rsid w:val="008F5CDB"/>
    <w:rsid w:val="00902E39"/>
    <w:rsid w:val="00911A50"/>
    <w:rsid w:val="00911C80"/>
    <w:rsid w:val="0091449D"/>
    <w:rsid w:val="009153BE"/>
    <w:rsid w:val="00920907"/>
    <w:rsid w:val="00921411"/>
    <w:rsid w:val="00932DAC"/>
    <w:rsid w:val="00945336"/>
    <w:rsid w:val="009533BC"/>
    <w:rsid w:val="009537E8"/>
    <w:rsid w:val="009547A7"/>
    <w:rsid w:val="00966F16"/>
    <w:rsid w:val="009924A2"/>
    <w:rsid w:val="00995E23"/>
    <w:rsid w:val="009974F4"/>
    <w:rsid w:val="009B33A3"/>
    <w:rsid w:val="009B47DD"/>
    <w:rsid w:val="009B4C42"/>
    <w:rsid w:val="009C112A"/>
    <w:rsid w:val="009C5408"/>
    <w:rsid w:val="009D13A0"/>
    <w:rsid w:val="009E7AF6"/>
    <w:rsid w:val="00A2179D"/>
    <w:rsid w:val="00A258D3"/>
    <w:rsid w:val="00A2632E"/>
    <w:rsid w:val="00A3169B"/>
    <w:rsid w:val="00A335D5"/>
    <w:rsid w:val="00A52C2A"/>
    <w:rsid w:val="00A54910"/>
    <w:rsid w:val="00A57CC8"/>
    <w:rsid w:val="00A77060"/>
    <w:rsid w:val="00A92897"/>
    <w:rsid w:val="00A95A99"/>
    <w:rsid w:val="00A96D25"/>
    <w:rsid w:val="00AB1F79"/>
    <w:rsid w:val="00AE10BA"/>
    <w:rsid w:val="00AF663C"/>
    <w:rsid w:val="00B1386A"/>
    <w:rsid w:val="00B242F2"/>
    <w:rsid w:val="00B279BE"/>
    <w:rsid w:val="00B4608C"/>
    <w:rsid w:val="00B46113"/>
    <w:rsid w:val="00B4709F"/>
    <w:rsid w:val="00B47851"/>
    <w:rsid w:val="00B60205"/>
    <w:rsid w:val="00B965B0"/>
    <w:rsid w:val="00B97FB9"/>
    <w:rsid w:val="00BB064E"/>
    <w:rsid w:val="00BD22ED"/>
    <w:rsid w:val="00BD3DB3"/>
    <w:rsid w:val="00BD54B3"/>
    <w:rsid w:val="00BD7818"/>
    <w:rsid w:val="00BF5EE7"/>
    <w:rsid w:val="00C01148"/>
    <w:rsid w:val="00C04DA4"/>
    <w:rsid w:val="00C1379E"/>
    <w:rsid w:val="00C20270"/>
    <w:rsid w:val="00C25BED"/>
    <w:rsid w:val="00C30524"/>
    <w:rsid w:val="00C406BA"/>
    <w:rsid w:val="00C46B03"/>
    <w:rsid w:val="00C62720"/>
    <w:rsid w:val="00C71CEF"/>
    <w:rsid w:val="00C72066"/>
    <w:rsid w:val="00C7500F"/>
    <w:rsid w:val="00C82BE3"/>
    <w:rsid w:val="00C86AF6"/>
    <w:rsid w:val="00C94482"/>
    <w:rsid w:val="00C9612C"/>
    <w:rsid w:val="00CA6A31"/>
    <w:rsid w:val="00CA7723"/>
    <w:rsid w:val="00CC3D48"/>
    <w:rsid w:val="00CE06C0"/>
    <w:rsid w:val="00CF00D7"/>
    <w:rsid w:val="00CF3939"/>
    <w:rsid w:val="00CF47FF"/>
    <w:rsid w:val="00D01052"/>
    <w:rsid w:val="00D14FD4"/>
    <w:rsid w:val="00D23AA3"/>
    <w:rsid w:val="00D43589"/>
    <w:rsid w:val="00D477CC"/>
    <w:rsid w:val="00D62C7D"/>
    <w:rsid w:val="00D70688"/>
    <w:rsid w:val="00D92FE6"/>
    <w:rsid w:val="00D93DC5"/>
    <w:rsid w:val="00D96259"/>
    <w:rsid w:val="00D9750F"/>
    <w:rsid w:val="00DB0066"/>
    <w:rsid w:val="00DC23A7"/>
    <w:rsid w:val="00DC24AD"/>
    <w:rsid w:val="00DD078A"/>
    <w:rsid w:val="00DD6B62"/>
    <w:rsid w:val="00E11811"/>
    <w:rsid w:val="00E12870"/>
    <w:rsid w:val="00E1289C"/>
    <w:rsid w:val="00E244B5"/>
    <w:rsid w:val="00E24CB2"/>
    <w:rsid w:val="00E35825"/>
    <w:rsid w:val="00E36422"/>
    <w:rsid w:val="00E41919"/>
    <w:rsid w:val="00E45CC0"/>
    <w:rsid w:val="00E514A9"/>
    <w:rsid w:val="00E52EF5"/>
    <w:rsid w:val="00E56845"/>
    <w:rsid w:val="00E61A6C"/>
    <w:rsid w:val="00E74F69"/>
    <w:rsid w:val="00E87B0F"/>
    <w:rsid w:val="00EA227F"/>
    <w:rsid w:val="00EB139A"/>
    <w:rsid w:val="00EB4032"/>
    <w:rsid w:val="00EE03B8"/>
    <w:rsid w:val="00EE1316"/>
    <w:rsid w:val="00EE31A3"/>
    <w:rsid w:val="00F166B0"/>
    <w:rsid w:val="00F23AF1"/>
    <w:rsid w:val="00F27837"/>
    <w:rsid w:val="00F30EB3"/>
    <w:rsid w:val="00F31D8F"/>
    <w:rsid w:val="00F330C2"/>
    <w:rsid w:val="00F45EDB"/>
    <w:rsid w:val="00F46985"/>
    <w:rsid w:val="00F53FBD"/>
    <w:rsid w:val="00F5706A"/>
    <w:rsid w:val="00F67EE2"/>
    <w:rsid w:val="00F726A5"/>
    <w:rsid w:val="00F73C64"/>
    <w:rsid w:val="00F779CF"/>
    <w:rsid w:val="00F86340"/>
    <w:rsid w:val="00F91029"/>
    <w:rsid w:val="00FB468A"/>
    <w:rsid w:val="00FB5F96"/>
    <w:rsid w:val="00FC08FE"/>
    <w:rsid w:val="00FC5AA8"/>
    <w:rsid w:val="00FC6278"/>
    <w:rsid w:val="00FC685C"/>
    <w:rsid w:val="00FD3788"/>
    <w:rsid w:val="00FD49BF"/>
    <w:rsid w:val="00FE4397"/>
    <w:rsid w:val="00FE7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77169E60"/>
  <w15:docId w15:val="{DAE19AE8-7596-4F24-B6B2-029E5F8D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4C42"/>
    <w:pPr>
      <w:spacing w:after="220"/>
      <w:jc w:val="both"/>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3F51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9974F4"/>
    <w:pPr>
      <w:keepNext/>
      <w:spacing w:before="1200" w:after="60" w:line="300" w:lineRule="exact"/>
      <w:outlineLvl w:val="1"/>
    </w:pPr>
    <w:rPr>
      <w:rFonts w:ascii="Arial" w:eastAsia="Times New Roman" w:hAnsi="Arial" w:cs="Arial"/>
      <w:bCs/>
      <w:iCs/>
      <w:noProof/>
      <w:color w:val="000000"/>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Odstavec_muj,Nad,List Paragraph,Odstavec_muj1,Odstavec_muj2,Odstavec_muj3,Nad1,List Paragraph1,Odstavec_muj4,Nad2,List Paragraph2,Odstavec_muj5,Odstavec_muj6,Odstavec_muj7,Odstavec_muj8,Odstavec_muj9,Odstavec_muj10"/>
    <w:basedOn w:val="Normln"/>
    <w:link w:val="OdstavecseseznamemChar"/>
    <w:uiPriority w:val="34"/>
    <w:qFormat/>
    <w:rsid w:val="009B4C42"/>
    <w:pPr>
      <w:ind w:left="720"/>
      <w:contextualSpacing/>
    </w:pPr>
  </w:style>
  <w:style w:type="character" w:customStyle="1" w:styleId="OdstavecseseznamemChar">
    <w:name w:val="Odstavec se seznamem Char"/>
    <w:aliases w:val="nad 1 Char,Název grafu Char,Odstavec_muj Char,Nad Char,List Paragraph Char,Odstavec_muj1 Char,Odstavec_muj2 Char,Odstavec_muj3 Char,Nad1 Char,List Paragraph1 Char,Odstavec_muj4 Char,Nad2 Char,List Paragraph2 Char"/>
    <w:basedOn w:val="Standardnpsmoodstavce"/>
    <w:link w:val="Odstavecseseznamem"/>
    <w:uiPriority w:val="34"/>
    <w:rsid w:val="009B4C42"/>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9B4C42"/>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abulkatext12">
    <w:name w:val="Tabulka text12"/>
    <w:uiPriority w:val="6"/>
    <w:qFormat/>
    <w:rsid w:val="00A3169B"/>
    <w:pPr>
      <w:spacing w:before="60" w:after="60"/>
      <w:ind w:left="57" w:right="57"/>
    </w:pPr>
    <w:rPr>
      <w:rFonts w:asciiTheme="minorHAnsi" w:eastAsiaTheme="minorHAnsi" w:hAnsiTheme="minorHAnsi" w:cstheme="minorBidi"/>
      <w:szCs w:val="22"/>
      <w:lang w:eastAsia="en-US"/>
    </w:rPr>
  </w:style>
  <w:style w:type="paragraph" w:styleId="Textbubliny">
    <w:name w:val="Balloon Text"/>
    <w:basedOn w:val="Normln"/>
    <w:link w:val="TextbublinyChar"/>
    <w:rsid w:val="00580B68"/>
    <w:pPr>
      <w:spacing w:after="0"/>
    </w:pPr>
    <w:rPr>
      <w:rFonts w:ascii="Tahoma" w:hAnsi="Tahoma" w:cs="Tahoma"/>
      <w:sz w:val="16"/>
      <w:szCs w:val="16"/>
    </w:rPr>
  </w:style>
  <w:style w:type="character" w:customStyle="1" w:styleId="TextbublinyChar">
    <w:name w:val="Text bubliny Char"/>
    <w:basedOn w:val="Standardnpsmoodstavce"/>
    <w:link w:val="Textbubliny"/>
    <w:rsid w:val="00580B68"/>
    <w:rPr>
      <w:rFonts w:ascii="Tahoma" w:eastAsiaTheme="minorHAnsi" w:hAnsi="Tahoma" w:cs="Tahoma"/>
      <w:sz w:val="16"/>
      <w:szCs w:val="16"/>
      <w:lang w:eastAsia="en-U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9974F4"/>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9974F4"/>
    <w:rPr>
      <w:rFonts w:asciiTheme="minorHAnsi" w:eastAsiaTheme="minorHAnsi" w:hAnsiTheme="minorHAnsi" w:cstheme="minorBidi"/>
      <w:sz w:val="18"/>
      <w:lang w:eastAsia="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9974F4"/>
    <w:rPr>
      <w:vertAlign w:val="superscript"/>
    </w:rPr>
  </w:style>
  <w:style w:type="paragraph" w:styleId="Textkomente">
    <w:name w:val="annotation text"/>
    <w:basedOn w:val="Normln"/>
    <w:link w:val="TextkomenteChar"/>
    <w:uiPriority w:val="99"/>
    <w:unhideWhenUsed/>
    <w:rsid w:val="009974F4"/>
    <w:pPr>
      <w:spacing w:after="0"/>
    </w:pPr>
    <w:rPr>
      <w:rFonts w:ascii="Arial" w:eastAsia="Arial" w:hAnsi="Arial" w:cs="Arial"/>
      <w:sz w:val="20"/>
      <w:szCs w:val="20"/>
      <w:lang w:eastAsia="cs-CZ"/>
    </w:rPr>
  </w:style>
  <w:style w:type="character" w:customStyle="1" w:styleId="TextkomenteChar">
    <w:name w:val="Text komentáře Char"/>
    <w:basedOn w:val="Standardnpsmoodstavce"/>
    <w:link w:val="Textkomente"/>
    <w:uiPriority w:val="99"/>
    <w:rsid w:val="009974F4"/>
    <w:rPr>
      <w:rFonts w:ascii="Arial" w:eastAsia="Arial" w:hAnsi="Arial" w:cs="Arial"/>
    </w:rPr>
  </w:style>
  <w:style w:type="character" w:styleId="Odkaznakoment">
    <w:name w:val="annotation reference"/>
    <w:basedOn w:val="Standardnpsmoodstavce"/>
    <w:uiPriority w:val="99"/>
    <w:unhideWhenUsed/>
    <w:qFormat/>
    <w:rsid w:val="009974F4"/>
    <w:rPr>
      <w:sz w:val="16"/>
      <w:szCs w:val="16"/>
    </w:rPr>
  </w:style>
  <w:style w:type="character" w:customStyle="1" w:styleId="Nadpis2Char">
    <w:name w:val="Nadpis 2 Char"/>
    <w:basedOn w:val="Standardnpsmoodstavce"/>
    <w:link w:val="Nadpis2"/>
    <w:uiPriority w:val="99"/>
    <w:rsid w:val="009974F4"/>
    <w:rPr>
      <w:rFonts w:ascii="Arial" w:hAnsi="Arial" w:cs="Arial"/>
      <w:bCs/>
      <w:iCs/>
      <w:noProof/>
      <w:color w:val="000000"/>
      <w:sz w:val="28"/>
      <w:szCs w:val="28"/>
    </w:rPr>
  </w:style>
  <w:style w:type="paragraph" w:customStyle="1" w:styleId="ustanoven">
    <w:name w:val="ustanovení"/>
    <w:basedOn w:val="slovanseznam"/>
    <w:link w:val="ustanovenChar"/>
    <w:qFormat/>
    <w:rsid w:val="002C59CE"/>
    <w:pPr>
      <w:numPr>
        <w:numId w:val="7"/>
      </w:numPr>
      <w:spacing w:before="240" w:after="120"/>
      <w:contextualSpacing w:val="0"/>
    </w:pPr>
    <w:rPr>
      <w:rFonts w:eastAsia="Times New Roman" w:cs="Arial"/>
      <w:iCs/>
      <w:snapToGrid w:val="0"/>
      <w:lang w:eastAsia="cs-CZ"/>
    </w:rPr>
  </w:style>
  <w:style w:type="character" w:customStyle="1" w:styleId="ustanovenChar">
    <w:name w:val="ustanovení Char"/>
    <w:basedOn w:val="Standardnpsmoodstavce"/>
    <w:link w:val="ustanoven"/>
    <w:rsid w:val="002C59CE"/>
    <w:rPr>
      <w:rFonts w:asciiTheme="minorHAnsi" w:hAnsiTheme="minorHAnsi" w:cs="Arial"/>
      <w:iCs/>
      <w:snapToGrid w:val="0"/>
      <w:sz w:val="22"/>
      <w:szCs w:val="22"/>
    </w:rPr>
  </w:style>
  <w:style w:type="paragraph" w:styleId="slovanseznam">
    <w:name w:val="List Number"/>
    <w:basedOn w:val="Normln"/>
    <w:rsid w:val="002C59CE"/>
    <w:pPr>
      <w:numPr>
        <w:numId w:val="6"/>
      </w:numPr>
      <w:contextualSpacing/>
    </w:pPr>
  </w:style>
  <w:style w:type="table" w:styleId="Mkatabulky">
    <w:name w:val="Table Grid"/>
    <w:basedOn w:val="Normlntabulka"/>
    <w:uiPriority w:val="39"/>
    <w:rsid w:val="00911A5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unhideWhenUsed/>
    <w:rsid w:val="007B10F0"/>
    <w:pPr>
      <w:spacing w:after="22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7B10F0"/>
    <w:rPr>
      <w:rFonts w:asciiTheme="minorHAnsi" w:eastAsiaTheme="minorHAnsi" w:hAnsiTheme="minorHAnsi" w:cstheme="minorBidi"/>
      <w:b/>
      <w:bCs/>
      <w:lang w:eastAsia="en-US"/>
    </w:rPr>
  </w:style>
  <w:style w:type="paragraph" w:styleId="Zhlav">
    <w:name w:val="header"/>
    <w:basedOn w:val="Normln"/>
    <w:link w:val="ZhlavChar"/>
    <w:uiPriority w:val="99"/>
    <w:unhideWhenUsed/>
    <w:rsid w:val="00911C80"/>
    <w:pPr>
      <w:tabs>
        <w:tab w:val="center" w:pos="4536"/>
        <w:tab w:val="right" w:pos="9072"/>
      </w:tabs>
      <w:spacing w:after="0"/>
    </w:pPr>
  </w:style>
  <w:style w:type="character" w:customStyle="1" w:styleId="ZhlavChar">
    <w:name w:val="Záhlaví Char"/>
    <w:basedOn w:val="Standardnpsmoodstavce"/>
    <w:link w:val="Zhlav"/>
    <w:uiPriority w:val="99"/>
    <w:qFormat/>
    <w:rsid w:val="00911C80"/>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911C80"/>
    <w:pPr>
      <w:tabs>
        <w:tab w:val="center" w:pos="4536"/>
        <w:tab w:val="right" w:pos="9072"/>
      </w:tabs>
      <w:spacing w:after="0"/>
    </w:pPr>
  </w:style>
  <w:style w:type="character" w:customStyle="1" w:styleId="ZpatChar">
    <w:name w:val="Zápatí Char"/>
    <w:basedOn w:val="Standardnpsmoodstavce"/>
    <w:link w:val="Zpat"/>
    <w:uiPriority w:val="99"/>
    <w:rsid w:val="00911C80"/>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3F51D8"/>
    <w:rPr>
      <w:rFonts w:asciiTheme="majorHAnsi" w:eastAsiaTheme="majorEastAsia" w:hAnsiTheme="majorHAnsi" w:cstheme="majorBidi"/>
      <w:color w:val="365F91" w:themeColor="accent1" w:themeShade="BF"/>
      <w:sz w:val="32"/>
      <w:szCs w:val="32"/>
      <w:lang w:eastAsia="en-US"/>
    </w:rPr>
  </w:style>
  <w:style w:type="paragraph" w:styleId="Bezmezer">
    <w:name w:val="No Spacing"/>
    <w:uiPriority w:val="1"/>
    <w:qFormat/>
    <w:rsid w:val="00413D8A"/>
    <w:pPr>
      <w:jc w:val="both"/>
    </w:pPr>
    <w:rPr>
      <w:rFonts w:asciiTheme="minorHAnsi" w:eastAsiaTheme="minorHAnsi" w:hAnsiTheme="minorHAnsi" w:cstheme="minorBidi"/>
      <w:sz w:val="22"/>
      <w:szCs w:val="22"/>
      <w:lang w:eastAsia="en-US"/>
    </w:rPr>
  </w:style>
  <w:style w:type="paragraph" w:customStyle="1" w:styleId="gmail-msocommenttext">
    <w:name w:val="gmail-msocommenttext"/>
    <w:basedOn w:val="Normln"/>
    <w:rsid w:val="00B242F2"/>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Revize">
    <w:name w:val="Revision"/>
    <w:hidden/>
    <w:uiPriority w:val="99"/>
    <w:semiHidden/>
    <w:rsid w:val="00DC24AD"/>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D477CC"/>
    <w:rPr>
      <w:color w:val="0000FF" w:themeColor="hyperlink"/>
      <w:u w:val="single"/>
    </w:rPr>
  </w:style>
  <w:style w:type="character" w:styleId="Nevyeenzmnka">
    <w:name w:val="Unresolved Mention"/>
    <w:basedOn w:val="Standardnpsmoodstavce"/>
    <w:uiPriority w:val="99"/>
    <w:semiHidden/>
    <w:unhideWhenUsed/>
    <w:rsid w:val="00D477CC"/>
    <w:rPr>
      <w:color w:val="605E5C"/>
      <w:shd w:val="clear" w:color="auto" w:fill="E1DFDD"/>
    </w:rPr>
  </w:style>
  <w:style w:type="paragraph" w:styleId="Nzev">
    <w:name w:val="Title"/>
    <w:basedOn w:val="Normln"/>
    <w:next w:val="Normln"/>
    <w:link w:val="NzevChar"/>
    <w:uiPriority w:val="10"/>
    <w:qFormat/>
    <w:rsid w:val="0054767C"/>
    <w:pPr>
      <w:keepNext/>
      <w:keepLines/>
      <w:pBdr>
        <w:top w:val="nil"/>
        <w:left w:val="nil"/>
        <w:bottom w:val="nil"/>
        <w:right w:val="nil"/>
        <w:between w:val="nil"/>
      </w:pBdr>
      <w:spacing w:after="60"/>
      <w:jc w:val="left"/>
    </w:pPr>
    <w:rPr>
      <w:rFonts w:ascii="Arial" w:eastAsia="Arial" w:hAnsi="Arial" w:cs="Arial"/>
      <w:color w:val="000000"/>
      <w:sz w:val="52"/>
      <w:szCs w:val="52"/>
      <w:lang w:val="cs" w:eastAsia="cs-CZ"/>
    </w:rPr>
  </w:style>
  <w:style w:type="character" w:customStyle="1" w:styleId="NzevChar">
    <w:name w:val="Název Char"/>
    <w:basedOn w:val="Standardnpsmoodstavce"/>
    <w:link w:val="Nzev"/>
    <w:uiPriority w:val="10"/>
    <w:rsid w:val="0054767C"/>
    <w:rPr>
      <w:rFonts w:ascii="Arial" w:eastAsia="Arial" w:hAnsi="Arial" w:cs="Arial"/>
      <w:color w:val="000000"/>
      <w:sz w:val="52"/>
      <w:szCs w:val="52"/>
      <w:lang w:val="cs"/>
    </w:rPr>
  </w:style>
  <w:style w:type="paragraph" w:customStyle="1" w:styleId="Poznmka">
    <w:name w:val="Poznámka"/>
    <w:basedOn w:val="Normln"/>
    <w:link w:val="PoznmkaChar"/>
    <w:qFormat/>
    <w:rsid w:val="0054767C"/>
    <w:pPr>
      <w:widowControl w:val="0"/>
      <w:spacing w:after="0"/>
    </w:pPr>
    <w:rPr>
      <w:rFonts w:ascii="Arial" w:eastAsia="Arial" w:hAnsi="Arial" w:cs="Arial"/>
      <w:sz w:val="16"/>
      <w:szCs w:val="20"/>
      <w:lang w:val="cs" w:eastAsia="cs-CZ"/>
    </w:rPr>
  </w:style>
  <w:style w:type="character" w:customStyle="1" w:styleId="PoznmkaChar">
    <w:name w:val="Poznámka Char"/>
    <w:basedOn w:val="Standardnpsmoodstavce"/>
    <w:link w:val="Poznmka"/>
    <w:rsid w:val="0054767C"/>
    <w:rPr>
      <w:rFonts w:ascii="Arial" w:eastAsia="Arial" w:hAnsi="Arial" w:cs="Arial"/>
      <w:sz w:val="16"/>
      <w:lang w:va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3589">
      <w:bodyDiv w:val="1"/>
      <w:marLeft w:val="0"/>
      <w:marRight w:val="0"/>
      <w:marTop w:val="0"/>
      <w:marBottom w:val="0"/>
      <w:divBdr>
        <w:top w:val="none" w:sz="0" w:space="0" w:color="auto"/>
        <w:left w:val="none" w:sz="0" w:space="0" w:color="auto"/>
        <w:bottom w:val="none" w:sz="0" w:space="0" w:color="auto"/>
        <w:right w:val="none" w:sz="0" w:space="0" w:color="auto"/>
      </w:divBdr>
    </w:div>
    <w:div w:id="820924285">
      <w:bodyDiv w:val="1"/>
      <w:marLeft w:val="0"/>
      <w:marRight w:val="0"/>
      <w:marTop w:val="0"/>
      <w:marBottom w:val="0"/>
      <w:divBdr>
        <w:top w:val="none" w:sz="0" w:space="0" w:color="auto"/>
        <w:left w:val="none" w:sz="0" w:space="0" w:color="auto"/>
        <w:bottom w:val="none" w:sz="0" w:space="0" w:color="auto"/>
        <w:right w:val="none" w:sz="0" w:space="0" w:color="auto"/>
      </w:divBdr>
    </w:div>
    <w:div w:id="13275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zcr.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z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9D2B-F752-450E-9677-75E1E0B5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4577</Words>
  <Characters>27695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Michelová Marta Mgr.</dc:creator>
  <cp:lastModifiedBy>Koktánová Jana Mgr.</cp:lastModifiedBy>
  <cp:revision>17</cp:revision>
  <cp:lastPrinted>2019-12-18T11:48:00Z</cp:lastPrinted>
  <dcterms:created xsi:type="dcterms:W3CDTF">2020-01-30T14:01:00Z</dcterms:created>
  <dcterms:modified xsi:type="dcterms:W3CDTF">2020-08-26T09:48:00Z</dcterms:modified>
</cp:coreProperties>
</file>