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986F4" w14:textId="697E64E7" w:rsidR="00943CF0" w:rsidRPr="00DD51CE" w:rsidRDefault="00943CF0" w:rsidP="00DD51CE">
      <w:pPr>
        <w:pStyle w:val="Nzev"/>
        <w:spacing w:after="120"/>
        <w:rPr>
          <w:sz w:val="24"/>
          <w:szCs w:val="24"/>
        </w:rPr>
      </w:pPr>
      <w:bookmarkStart w:id="0" w:name="_8c76te2ptup" w:colFirst="0" w:colLast="0"/>
      <w:bookmarkEnd w:id="0"/>
      <w:r w:rsidRPr="00DD51CE">
        <w:rPr>
          <w:sz w:val="24"/>
          <w:szCs w:val="24"/>
        </w:rPr>
        <w:t xml:space="preserve">Příloha č. </w:t>
      </w:r>
      <w:r w:rsidR="005E4FF6">
        <w:rPr>
          <w:sz w:val="24"/>
          <w:szCs w:val="24"/>
        </w:rPr>
        <w:t>1</w:t>
      </w:r>
      <w:r w:rsidR="00F30811" w:rsidRPr="00DD51CE">
        <w:rPr>
          <w:sz w:val="24"/>
          <w:szCs w:val="24"/>
        </w:rPr>
        <w:t xml:space="preserve"> </w:t>
      </w:r>
      <w:bookmarkStart w:id="1" w:name="_GoBack"/>
      <w:bookmarkEnd w:id="1"/>
    </w:p>
    <w:p w14:paraId="025F108E" w14:textId="3BA81064" w:rsidR="004255D9" w:rsidRDefault="006733FC" w:rsidP="00DD51CE">
      <w:pPr>
        <w:keepNext/>
        <w:widowControl/>
        <w:spacing w:before="240" w:after="120" w:line="240" w:lineRule="auto"/>
        <w:jc w:val="center"/>
        <w:rPr>
          <w:rFonts w:eastAsia="Calibri"/>
          <w:b/>
          <w:color w:val="000000"/>
          <w:sz w:val="24"/>
          <w:szCs w:val="24"/>
          <w:lang w:val="cs-CZ"/>
        </w:rPr>
      </w:pPr>
      <w:r w:rsidRPr="00DD51CE">
        <w:rPr>
          <w:rFonts w:eastAsia="Calibri"/>
          <w:b/>
          <w:color w:val="000000"/>
          <w:sz w:val="24"/>
          <w:szCs w:val="24"/>
          <w:lang w:val="cs-CZ"/>
        </w:rPr>
        <w:t>Metodický pokyn ke klíčovým aktivitám specializačního vzdělávání</w:t>
      </w:r>
    </w:p>
    <w:p w14:paraId="548D1D1A" w14:textId="77777777" w:rsidR="000D65D2" w:rsidRDefault="000D65D2" w:rsidP="000D65D2">
      <w:pPr>
        <w:pStyle w:val="Normln1"/>
        <w:rPr>
          <w:rFonts w:ascii="Calibri" w:eastAsia="Calibri" w:hAnsi="Calibri" w:cs="Calibri"/>
          <w:sz w:val="28"/>
          <w:szCs w:val="28"/>
          <w:shd w:val="clear" w:color="auto" w:fill="FFFFFF" w:themeFill="background1"/>
        </w:rPr>
      </w:pPr>
    </w:p>
    <w:p w14:paraId="71FF32EC" w14:textId="604BBC8B" w:rsidR="000D65D2" w:rsidRPr="00EC6CC5" w:rsidRDefault="000D65D2" w:rsidP="000D65D2">
      <w:pPr>
        <w:pStyle w:val="Normln1"/>
        <w:rPr>
          <w:rFonts w:ascii="Arial" w:eastAsia="Calibri" w:hAnsi="Arial" w:cs="Arial"/>
          <w:sz w:val="24"/>
          <w:szCs w:val="24"/>
          <w:shd w:val="clear" w:color="auto" w:fill="FCE5CD"/>
        </w:rPr>
      </w:pPr>
      <w:r w:rsidRPr="00EC6CC5">
        <w:rPr>
          <w:rFonts w:ascii="Arial" w:eastAsia="Calibri" w:hAnsi="Arial" w:cs="Arial"/>
          <w:sz w:val="24"/>
          <w:szCs w:val="24"/>
          <w:shd w:val="clear" w:color="auto" w:fill="FFFFFF" w:themeFill="background1"/>
        </w:rPr>
        <w:t xml:space="preserve">Evidence důležitých změn oproti předchozí verzi </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1691"/>
        <w:gridCol w:w="7371"/>
      </w:tblGrid>
      <w:tr w:rsidR="000D65D2" w:rsidRPr="00EC6CC5" w14:paraId="11694B0F" w14:textId="77777777" w:rsidTr="00647C36">
        <w:tc>
          <w:tcPr>
            <w:tcW w:w="1691" w:type="dxa"/>
            <w:shd w:val="clear" w:color="auto" w:fill="FFFFFF" w:themeFill="background1"/>
            <w:tcMar>
              <w:top w:w="100" w:type="dxa"/>
              <w:left w:w="100" w:type="dxa"/>
              <w:bottom w:w="100" w:type="dxa"/>
              <w:right w:w="100" w:type="dxa"/>
            </w:tcMar>
          </w:tcPr>
          <w:p w14:paraId="6651811E" w14:textId="77777777" w:rsidR="000D65D2" w:rsidRPr="00EC6CC5" w:rsidRDefault="000D65D2" w:rsidP="0078322E">
            <w:pPr>
              <w:pStyle w:val="Normln1"/>
              <w:widowControl w:val="0"/>
              <w:pBdr>
                <w:top w:val="nil"/>
                <w:left w:val="nil"/>
                <w:bottom w:val="nil"/>
                <w:right w:val="nil"/>
                <w:between w:val="nil"/>
              </w:pBdr>
              <w:spacing w:after="0" w:line="240" w:lineRule="auto"/>
              <w:rPr>
                <w:rFonts w:ascii="Arial" w:eastAsia="Calibri" w:hAnsi="Arial" w:cs="Arial"/>
                <w:b/>
                <w:sz w:val="24"/>
                <w:szCs w:val="24"/>
                <w:shd w:val="clear" w:color="auto" w:fill="FCE5CD"/>
              </w:rPr>
            </w:pPr>
            <w:r w:rsidRPr="00EC6CC5">
              <w:rPr>
                <w:rFonts w:ascii="Arial" w:eastAsia="Calibri" w:hAnsi="Arial" w:cs="Arial"/>
                <w:b/>
                <w:sz w:val="24"/>
                <w:szCs w:val="24"/>
                <w:shd w:val="clear" w:color="auto" w:fill="FFFFFF" w:themeFill="background1"/>
              </w:rPr>
              <w:t>Kapitola</w:t>
            </w:r>
          </w:p>
        </w:tc>
        <w:tc>
          <w:tcPr>
            <w:tcW w:w="7371" w:type="dxa"/>
            <w:shd w:val="clear" w:color="auto" w:fill="FFFFFF" w:themeFill="background1"/>
            <w:tcMar>
              <w:top w:w="100" w:type="dxa"/>
              <w:left w:w="100" w:type="dxa"/>
              <w:bottom w:w="100" w:type="dxa"/>
              <w:right w:w="100" w:type="dxa"/>
            </w:tcMar>
          </w:tcPr>
          <w:p w14:paraId="5FD33FA0" w14:textId="77777777" w:rsidR="000D65D2" w:rsidRPr="00EC6CC5" w:rsidRDefault="000D65D2" w:rsidP="0078322E">
            <w:pPr>
              <w:pStyle w:val="Normln1"/>
              <w:widowControl w:val="0"/>
              <w:pBdr>
                <w:top w:val="nil"/>
                <w:left w:val="nil"/>
                <w:bottom w:val="nil"/>
                <w:right w:val="nil"/>
                <w:between w:val="nil"/>
              </w:pBdr>
              <w:spacing w:after="0" w:line="240" w:lineRule="auto"/>
              <w:rPr>
                <w:rFonts w:ascii="Arial" w:eastAsia="Calibri" w:hAnsi="Arial" w:cs="Arial"/>
                <w:b/>
                <w:sz w:val="24"/>
                <w:szCs w:val="24"/>
                <w:shd w:val="clear" w:color="auto" w:fill="FCE5CD"/>
              </w:rPr>
            </w:pPr>
            <w:r w:rsidRPr="00EC6CC5">
              <w:rPr>
                <w:rFonts w:ascii="Arial" w:eastAsia="Calibri" w:hAnsi="Arial" w:cs="Arial"/>
                <w:b/>
                <w:sz w:val="24"/>
                <w:szCs w:val="24"/>
                <w:shd w:val="clear" w:color="auto" w:fill="FFFFFF" w:themeFill="background1"/>
              </w:rPr>
              <w:t>Stručný popis důležité změny</w:t>
            </w:r>
          </w:p>
          <w:p w14:paraId="463CD443" w14:textId="77777777" w:rsidR="000D65D2" w:rsidRPr="00EC6CC5" w:rsidRDefault="000D65D2" w:rsidP="0078322E">
            <w:pPr>
              <w:pStyle w:val="Normln1"/>
              <w:widowControl w:val="0"/>
              <w:pBdr>
                <w:top w:val="nil"/>
                <w:left w:val="nil"/>
                <w:bottom w:val="nil"/>
                <w:right w:val="nil"/>
                <w:between w:val="nil"/>
              </w:pBdr>
              <w:spacing w:after="0" w:line="240" w:lineRule="auto"/>
              <w:rPr>
                <w:rFonts w:ascii="Arial" w:eastAsia="Calibri" w:hAnsi="Arial" w:cs="Arial"/>
                <w:b/>
                <w:sz w:val="24"/>
                <w:szCs w:val="24"/>
                <w:shd w:val="clear" w:color="auto" w:fill="FCE5CD"/>
              </w:rPr>
            </w:pPr>
          </w:p>
        </w:tc>
      </w:tr>
      <w:tr w:rsidR="000D65D2" w:rsidRPr="00EC6CC5" w14:paraId="3B6E12C3" w14:textId="77777777" w:rsidTr="00647C36">
        <w:tc>
          <w:tcPr>
            <w:tcW w:w="1691" w:type="dxa"/>
            <w:shd w:val="clear" w:color="auto" w:fill="FFFFFF" w:themeFill="background1"/>
            <w:tcMar>
              <w:top w:w="100" w:type="dxa"/>
              <w:left w:w="100" w:type="dxa"/>
              <w:bottom w:w="100" w:type="dxa"/>
              <w:right w:w="100" w:type="dxa"/>
            </w:tcMar>
          </w:tcPr>
          <w:p w14:paraId="0F7145B6" w14:textId="1794D1DA" w:rsidR="000D65D2" w:rsidRPr="00EC6CC5" w:rsidRDefault="000D65D2" w:rsidP="0078322E">
            <w:pPr>
              <w:pStyle w:val="Normln1"/>
              <w:widowControl w:val="0"/>
              <w:pBdr>
                <w:top w:val="nil"/>
                <w:left w:val="nil"/>
                <w:bottom w:val="nil"/>
                <w:right w:val="nil"/>
                <w:between w:val="nil"/>
              </w:pBdr>
              <w:spacing w:after="0" w:line="240" w:lineRule="auto"/>
              <w:rPr>
                <w:rFonts w:ascii="Arial" w:eastAsia="Calibri" w:hAnsi="Arial" w:cs="Arial"/>
                <w:sz w:val="24"/>
                <w:szCs w:val="24"/>
                <w:shd w:val="clear" w:color="auto" w:fill="FCE5CD"/>
              </w:rPr>
            </w:pPr>
            <w:r w:rsidRPr="00EC6CC5">
              <w:rPr>
                <w:rFonts w:ascii="Arial" w:eastAsia="Calibri" w:hAnsi="Arial" w:cs="Arial"/>
                <w:sz w:val="24"/>
                <w:szCs w:val="24"/>
                <w:shd w:val="clear" w:color="auto" w:fill="FFFFFF" w:themeFill="background1"/>
              </w:rPr>
              <w:t>3.1 bod 1)</w:t>
            </w:r>
          </w:p>
        </w:tc>
        <w:tc>
          <w:tcPr>
            <w:tcW w:w="7371" w:type="dxa"/>
            <w:shd w:val="clear" w:color="auto" w:fill="FFFFFF" w:themeFill="background1"/>
            <w:tcMar>
              <w:top w:w="100" w:type="dxa"/>
              <w:left w:w="100" w:type="dxa"/>
              <w:bottom w:w="100" w:type="dxa"/>
              <w:right w:w="100" w:type="dxa"/>
            </w:tcMar>
          </w:tcPr>
          <w:p w14:paraId="078C00A2" w14:textId="5FA0AB47" w:rsidR="000D65D2" w:rsidRPr="00EC6CC5" w:rsidRDefault="000D65D2" w:rsidP="0078322E">
            <w:pPr>
              <w:pStyle w:val="Normln1"/>
              <w:widowControl w:val="0"/>
              <w:pBdr>
                <w:top w:val="nil"/>
                <w:left w:val="nil"/>
                <w:bottom w:val="nil"/>
                <w:right w:val="nil"/>
                <w:between w:val="nil"/>
              </w:pBdr>
              <w:spacing w:after="0" w:line="240" w:lineRule="auto"/>
              <w:rPr>
                <w:rFonts w:ascii="Arial" w:eastAsia="Calibri" w:hAnsi="Arial" w:cs="Arial"/>
                <w:sz w:val="24"/>
                <w:szCs w:val="24"/>
                <w:shd w:val="clear" w:color="auto" w:fill="FFFFFF" w:themeFill="background1"/>
              </w:rPr>
            </w:pPr>
            <w:r w:rsidRPr="00EC6CC5">
              <w:rPr>
                <w:rFonts w:ascii="Arial" w:eastAsia="Calibri" w:hAnsi="Arial" w:cs="Arial"/>
                <w:sz w:val="24"/>
                <w:szCs w:val="24"/>
                <w:shd w:val="clear" w:color="auto" w:fill="FFFFFF" w:themeFill="background1"/>
              </w:rPr>
              <w:t xml:space="preserve">Úprava monitorovacích období. </w:t>
            </w:r>
            <w:r w:rsidR="008875D2" w:rsidRPr="00EC6CC5">
              <w:rPr>
                <w:rFonts w:ascii="Arial" w:eastAsia="Calibri" w:hAnsi="Arial" w:cs="Arial"/>
                <w:sz w:val="24"/>
                <w:szCs w:val="24"/>
                <w:shd w:val="clear" w:color="auto" w:fill="FFFFFF" w:themeFill="background1"/>
              </w:rPr>
              <w:t>Sloučení prvních dvou monitorovacích období.</w:t>
            </w:r>
          </w:p>
        </w:tc>
      </w:tr>
    </w:tbl>
    <w:p w14:paraId="542030DB" w14:textId="77777777" w:rsidR="000D65D2" w:rsidRDefault="000D65D2" w:rsidP="00DD51CE">
      <w:pPr>
        <w:keepNext/>
        <w:widowControl/>
        <w:spacing w:before="240" w:after="120" w:line="240" w:lineRule="auto"/>
        <w:jc w:val="center"/>
        <w:rPr>
          <w:rFonts w:eastAsia="Calibri"/>
          <w:b/>
          <w:color w:val="000000"/>
          <w:sz w:val="24"/>
          <w:szCs w:val="24"/>
          <w:lang w:val="cs-CZ"/>
        </w:rPr>
      </w:pPr>
    </w:p>
    <w:p w14:paraId="7A0959EB" w14:textId="77777777" w:rsidR="004255D9" w:rsidRPr="00BD2D48" w:rsidRDefault="006733FC" w:rsidP="00DD51CE">
      <w:pPr>
        <w:widowControl/>
        <w:spacing w:after="120" w:line="240" w:lineRule="auto"/>
        <w:rPr>
          <w:b/>
          <w:sz w:val="24"/>
          <w:szCs w:val="24"/>
        </w:rPr>
      </w:pPr>
      <w:r w:rsidRPr="00BD2D48">
        <w:rPr>
          <w:b/>
          <w:sz w:val="24"/>
          <w:szCs w:val="24"/>
        </w:rPr>
        <w:t>Obsah</w:t>
      </w:r>
    </w:p>
    <w:sdt>
      <w:sdtPr>
        <w:rPr>
          <w:sz w:val="24"/>
          <w:szCs w:val="24"/>
          <w:highlight w:val="green"/>
        </w:rPr>
        <w:id w:val="1915975637"/>
        <w:docPartObj>
          <w:docPartGallery w:val="Table of Contents"/>
          <w:docPartUnique/>
        </w:docPartObj>
      </w:sdtPr>
      <w:sdtEndPr>
        <w:rPr>
          <w:sz w:val="20"/>
          <w:szCs w:val="20"/>
        </w:rPr>
      </w:sdtEndPr>
      <w:sdtContent>
        <w:p w14:paraId="35E60823" w14:textId="14EE7B9F" w:rsidR="006B719F" w:rsidRDefault="006733FC">
          <w:pPr>
            <w:pStyle w:val="Obsah1"/>
            <w:tabs>
              <w:tab w:val="right" w:pos="9016"/>
            </w:tabs>
            <w:rPr>
              <w:rFonts w:asciiTheme="minorHAnsi" w:eastAsiaTheme="minorEastAsia" w:hAnsiTheme="minorHAnsi" w:cstheme="minorBidi"/>
              <w:noProof/>
              <w:lang w:val="cs-CZ"/>
            </w:rPr>
          </w:pPr>
          <w:r w:rsidRPr="005D5A41">
            <w:rPr>
              <w:sz w:val="20"/>
              <w:szCs w:val="20"/>
              <w:highlight w:val="green"/>
            </w:rPr>
            <w:fldChar w:fldCharType="begin"/>
          </w:r>
          <w:r w:rsidRPr="005D5A41">
            <w:rPr>
              <w:sz w:val="20"/>
              <w:szCs w:val="20"/>
              <w:highlight w:val="green"/>
            </w:rPr>
            <w:instrText xml:space="preserve"> TOC \h \u \z </w:instrText>
          </w:r>
          <w:r w:rsidRPr="005D5A41">
            <w:rPr>
              <w:sz w:val="20"/>
              <w:szCs w:val="20"/>
              <w:highlight w:val="green"/>
            </w:rPr>
            <w:fldChar w:fldCharType="separate"/>
          </w:r>
          <w:hyperlink w:anchor="_Toc32407786" w:history="1">
            <w:r w:rsidR="006B719F" w:rsidRPr="00272351">
              <w:rPr>
                <w:rStyle w:val="Hypertextovodkaz"/>
                <w:noProof/>
              </w:rPr>
              <w:t>1. OBECNÉ INFORMACE</w:t>
            </w:r>
            <w:r w:rsidR="006B719F">
              <w:rPr>
                <w:noProof/>
                <w:webHidden/>
              </w:rPr>
              <w:tab/>
            </w:r>
            <w:r w:rsidR="006B719F">
              <w:rPr>
                <w:noProof/>
                <w:webHidden/>
              </w:rPr>
              <w:fldChar w:fldCharType="begin"/>
            </w:r>
            <w:r w:rsidR="006B719F">
              <w:rPr>
                <w:noProof/>
                <w:webHidden/>
              </w:rPr>
              <w:instrText xml:space="preserve"> PAGEREF _Toc32407786 \h </w:instrText>
            </w:r>
            <w:r w:rsidR="006B719F">
              <w:rPr>
                <w:noProof/>
                <w:webHidden/>
              </w:rPr>
            </w:r>
            <w:r w:rsidR="006B719F">
              <w:rPr>
                <w:noProof/>
                <w:webHidden/>
              </w:rPr>
              <w:fldChar w:fldCharType="separate"/>
            </w:r>
            <w:r w:rsidR="000D65D2">
              <w:rPr>
                <w:noProof/>
                <w:webHidden/>
              </w:rPr>
              <w:t>2</w:t>
            </w:r>
            <w:r w:rsidR="006B719F">
              <w:rPr>
                <w:noProof/>
                <w:webHidden/>
              </w:rPr>
              <w:fldChar w:fldCharType="end"/>
            </w:r>
          </w:hyperlink>
        </w:p>
        <w:p w14:paraId="54D2E92D" w14:textId="3ADE947D" w:rsidR="006B719F" w:rsidRDefault="005E3E52">
          <w:pPr>
            <w:pStyle w:val="Obsah2"/>
            <w:tabs>
              <w:tab w:val="right" w:pos="9016"/>
            </w:tabs>
            <w:rPr>
              <w:rFonts w:asciiTheme="minorHAnsi" w:eastAsiaTheme="minorEastAsia" w:hAnsiTheme="minorHAnsi" w:cstheme="minorBidi"/>
              <w:noProof/>
              <w:lang w:val="cs-CZ"/>
            </w:rPr>
          </w:pPr>
          <w:hyperlink w:anchor="_Toc32407787" w:history="1">
            <w:r w:rsidR="006B719F" w:rsidRPr="00272351">
              <w:rPr>
                <w:rStyle w:val="Hypertextovodkaz"/>
                <w:noProof/>
              </w:rPr>
              <w:t>1.1 ÚVOD</w:t>
            </w:r>
            <w:r w:rsidR="006B719F">
              <w:rPr>
                <w:noProof/>
                <w:webHidden/>
              </w:rPr>
              <w:tab/>
            </w:r>
            <w:r w:rsidR="006B719F">
              <w:rPr>
                <w:noProof/>
                <w:webHidden/>
              </w:rPr>
              <w:fldChar w:fldCharType="begin"/>
            </w:r>
            <w:r w:rsidR="006B719F">
              <w:rPr>
                <w:noProof/>
                <w:webHidden/>
              </w:rPr>
              <w:instrText xml:space="preserve"> PAGEREF _Toc32407787 \h </w:instrText>
            </w:r>
            <w:r w:rsidR="006B719F">
              <w:rPr>
                <w:noProof/>
                <w:webHidden/>
              </w:rPr>
            </w:r>
            <w:r w:rsidR="006B719F">
              <w:rPr>
                <w:noProof/>
                <w:webHidden/>
              </w:rPr>
              <w:fldChar w:fldCharType="separate"/>
            </w:r>
            <w:r w:rsidR="000D65D2">
              <w:rPr>
                <w:noProof/>
                <w:webHidden/>
              </w:rPr>
              <w:t>2</w:t>
            </w:r>
            <w:r w:rsidR="006B719F">
              <w:rPr>
                <w:noProof/>
                <w:webHidden/>
              </w:rPr>
              <w:fldChar w:fldCharType="end"/>
            </w:r>
          </w:hyperlink>
        </w:p>
        <w:p w14:paraId="3A48419C" w14:textId="6C29CEAB" w:rsidR="006B719F" w:rsidRDefault="005E3E52">
          <w:pPr>
            <w:pStyle w:val="Obsah2"/>
            <w:tabs>
              <w:tab w:val="right" w:pos="9016"/>
            </w:tabs>
            <w:rPr>
              <w:rFonts w:asciiTheme="minorHAnsi" w:eastAsiaTheme="minorEastAsia" w:hAnsiTheme="minorHAnsi" w:cstheme="minorBidi"/>
              <w:noProof/>
              <w:lang w:val="cs-CZ"/>
            </w:rPr>
          </w:pPr>
          <w:hyperlink w:anchor="_Toc32407788" w:history="1">
            <w:r w:rsidR="006B719F" w:rsidRPr="00272351">
              <w:rPr>
                <w:rStyle w:val="Hypertextovodkaz"/>
                <w:noProof/>
              </w:rPr>
              <w:t>1.2 ZAPOJENÍ ÚČASTNÍKŮ DO KLÍČOVÝCH AKTIVIT</w:t>
            </w:r>
            <w:r w:rsidR="006B719F">
              <w:rPr>
                <w:noProof/>
                <w:webHidden/>
              </w:rPr>
              <w:tab/>
            </w:r>
            <w:r w:rsidR="006B719F">
              <w:rPr>
                <w:noProof/>
                <w:webHidden/>
              </w:rPr>
              <w:fldChar w:fldCharType="begin"/>
            </w:r>
            <w:r w:rsidR="006B719F">
              <w:rPr>
                <w:noProof/>
                <w:webHidden/>
              </w:rPr>
              <w:instrText xml:space="preserve"> PAGEREF _Toc32407788 \h </w:instrText>
            </w:r>
            <w:r w:rsidR="006B719F">
              <w:rPr>
                <w:noProof/>
                <w:webHidden/>
              </w:rPr>
            </w:r>
            <w:r w:rsidR="006B719F">
              <w:rPr>
                <w:noProof/>
                <w:webHidden/>
              </w:rPr>
              <w:fldChar w:fldCharType="separate"/>
            </w:r>
            <w:r w:rsidR="000D65D2">
              <w:rPr>
                <w:noProof/>
                <w:webHidden/>
              </w:rPr>
              <w:t>3</w:t>
            </w:r>
            <w:r w:rsidR="006B719F">
              <w:rPr>
                <w:noProof/>
                <w:webHidden/>
              </w:rPr>
              <w:fldChar w:fldCharType="end"/>
            </w:r>
          </w:hyperlink>
        </w:p>
        <w:p w14:paraId="0109C47C" w14:textId="6EB42697" w:rsidR="006B719F" w:rsidRDefault="005E3E52">
          <w:pPr>
            <w:pStyle w:val="Obsah1"/>
            <w:tabs>
              <w:tab w:val="right" w:pos="9016"/>
            </w:tabs>
            <w:rPr>
              <w:rFonts w:asciiTheme="minorHAnsi" w:eastAsiaTheme="minorEastAsia" w:hAnsiTheme="minorHAnsi" w:cstheme="minorBidi"/>
              <w:noProof/>
              <w:lang w:val="cs-CZ"/>
            </w:rPr>
          </w:pPr>
          <w:hyperlink w:anchor="_Toc32407789" w:history="1">
            <w:r w:rsidR="006B719F" w:rsidRPr="00272351">
              <w:rPr>
                <w:rStyle w:val="Hypertextovodkaz"/>
                <w:noProof/>
              </w:rPr>
              <w:t>2. ZPŮSOBILÉ VÝDAJE</w:t>
            </w:r>
            <w:r w:rsidR="006B719F">
              <w:rPr>
                <w:noProof/>
                <w:webHidden/>
              </w:rPr>
              <w:tab/>
            </w:r>
            <w:r w:rsidR="006B719F">
              <w:rPr>
                <w:noProof/>
                <w:webHidden/>
              </w:rPr>
              <w:fldChar w:fldCharType="begin"/>
            </w:r>
            <w:r w:rsidR="006B719F">
              <w:rPr>
                <w:noProof/>
                <w:webHidden/>
              </w:rPr>
              <w:instrText xml:space="preserve"> PAGEREF _Toc32407789 \h </w:instrText>
            </w:r>
            <w:r w:rsidR="006B719F">
              <w:rPr>
                <w:noProof/>
                <w:webHidden/>
              </w:rPr>
            </w:r>
            <w:r w:rsidR="006B719F">
              <w:rPr>
                <w:noProof/>
                <w:webHidden/>
              </w:rPr>
              <w:fldChar w:fldCharType="separate"/>
            </w:r>
            <w:r w:rsidR="000D65D2">
              <w:rPr>
                <w:noProof/>
                <w:webHidden/>
              </w:rPr>
              <w:t>6</w:t>
            </w:r>
            <w:r w:rsidR="006B719F">
              <w:rPr>
                <w:noProof/>
                <w:webHidden/>
              </w:rPr>
              <w:fldChar w:fldCharType="end"/>
            </w:r>
          </w:hyperlink>
        </w:p>
        <w:p w14:paraId="6EC36F1C" w14:textId="15771FEE" w:rsidR="006B719F" w:rsidRDefault="005E3E52">
          <w:pPr>
            <w:pStyle w:val="Obsah2"/>
            <w:tabs>
              <w:tab w:val="right" w:pos="9016"/>
            </w:tabs>
            <w:rPr>
              <w:rFonts w:asciiTheme="minorHAnsi" w:eastAsiaTheme="minorEastAsia" w:hAnsiTheme="minorHAnsi" w:cstheme="minorBidi"/>
              <w:noProof/>
              <w:lang w:val="cs-CZ"/>
            </w:rPr>
          </w:pPr>
          <w:hyperlink w:anchor="_Toc32407790" w:history="1">
            <w:r w:rsidR="006B719F" w:rsidRPr="00272351">
              <w:rPr>
                <w:rStyle w:val="Hypertextovodkaz"/>
                <w:noProof/>
              </w:rPr>
              <w:t>2.1 ZPŮSOBILÉ VÝDAJE – OBECNÉ INFORMACE</w:t>
            </w:r>
            <w:r w:rsidR="006B719F">
              <w:rPr>
                <w:noProof/>
                <w:webHidden/>
              </w:rPr>
              <w:tab/>
            </w:r>
            <w:r w:rsidR="006B719F">
              <w:rPr>
                <w:noProof/>
                <w:webHidden/>
              </w:rPr>
              <w:fldChar w:fldCharType="begin"/>
            </w:r>
            <w:r w:rsidR="006B719F">
              <w:rPr>
                <w:noProof/>
                <w:webHidden/>
              </w:rPr>
              <w:instrText xml:space="preserve"> PAGEREF _Toc32407790 \h </w:instrText>
            </w:r>
            <w:r w:rsidR="006B719F">
              <w:rPr>
                <w:noProof/>
                <w:webHidden/>
              </w:rPr>
            </w:r>
            <w:r w:rsidR="006B719F">
              <w:rPr>
                <w:noProof/>
                <w:webHidden/>
              </w:rPr>
              <w:fldChar w:fldCharType="separate"/>
            </w:r>
            <w:r w:rsidR="000D65D2">
              <w:rPr>
                <w:noProof/>
                <w:webHidden/>
              </w:rPr>
              <w:t>6</w:t>
            </w:r>
            <w:r w:rsidR="006B719F">
              <w:rPr>
                <w:noProof/>
                <w:webHidden/>
              </w:rPr>
              <w:fldChar w:fldCharType="end"/>
            </w:r>
          </w:hyperlink>
        </w:p>
        <w:p w14:paraId="5A8A6980" w14:textId="0F8F274F" w:rsidR="006B719F" w:rsidRDefault="005E3E52">
          <w:pPr>
            <w:pStyle w:val="Obsah2"/>
            <w:tabs>
              <w:tab w:val="right" w:pos="9016"/>
            </w:tabs>
            <w:rPr>
              <w:rFonts w:asciiTheme="minorHAnsi" w:eastAsiaTheme="minorEastAsia" w:hAnsiTheme="minorHAnsi" w:cstheme="minorBidi"/>
              <w:noProof/>
              <w:lang w:val="cs-CZ"/>
            </w:rPr>
          </w:pPr>
          <w:hyperlink w:anchor="_Toc32407791" w:history="1">
            <w:r w:rsidR="006B719F" w:rsidRPr="00272351">
              <w:rPr>
                <w:rStyle w:val="Hypertextovodkaz"/>
                <w:noProof/>
              </w:rPr>
              <w:t>2.2 ZPŮSOBILÉ VÝDAJE – KLÍČOVÉ AKTIVITY</w:t>
            </w:r>
            <w:r w:rsidR="006B719F">
              <w:rPr>
                <w:noProof/>
                <w:webHidden/>
              </w:rPr>
              <w:tab/>
            </w:r>
            <w:r w:rsidR="006B719F">
              <w:rPr>
                <w:noProof/>
                <w:webHidden/>
              </w:rPr>
              <w:fldChar w:fldCharType="begin"/>
            </w:r>
            <w:r w:rsidR="006B719F">
              <w:rPr>
                <w:noProof/>
                <w:webHidden/>
              </w:rPr>
              <w:instrText xml:space="preserve"> PAGEREF _Toc32407791 \h </w:instrText>
            </w:r>
            <w:r w:rsidR="006B719F">
              <w:rPr>
                <w:noProof/>
                <w:webHidden/>
              </w:rPr>
            </w:r>
            <w:r w:rsidR="006B719F">
              <w:rPr>
                <w:noProof/>
                <w:webHidden/>
              </w:rPr>
              <w:fldChar w:fldCharType="separate"/>
            </w:r>
            <w:r w:rsidR="000D65D2">
              <w:rPr>
                <w:noProof/>
                <w:webHidden/>
              </w:rPr>
              <w:t>8</w:t>
            </w:r>
            <w:r w:rsidR="006B719F">
              <w:rPr>
                <w:noProof/>
                <w:webHidden/>
              </w:rPr>
              <w:fldChar w:fldCharType="end"/>
            </w:r>
          </w:hyperlink>
        </w:p>
        <w:p w14:paraId="0AFE4146" w14:textId="1A1AD75B" w:rsidR="006B719F" w:rsidRDefault="005E3E52">
          <w:pPr>
            <w:pStyle w:val="Obsah2"/>
            <w:tabs>
              <w:tab w:val="right" w:pos="9016"/>
            </w:tabs>
            <w:rPr>
              <w:rFonts w:asciiTheme="minorHAnsi" w:eastAsiaTheme="minorEastAsia" w:hAnsiTheme="minorHAnsi" w:cstheme="minorBidi"/>
              <w:noProof/>
              <w:lang w:val="cs-CZ"/>
            </w:rPr>
          </w:pPr>
          <w:hyperlink w:anchor="_Toc32407792" w:history="1">
            <w:r w:rsidR="006B719F" w:rsidRPr="00272351">
              <w:rPr>
                <w:rStyle w:val="Hypertextovodkaz"/>
                <w:noProof/>
              </w:rPr>
              <w:t>2.3 OBLASTI ZPŮSOBILÝCH VÝDAJŮ</w:t>
            </w:r>
            <w:r w:rsidR="006B719F">
              <w:rPr>
                <w:noProof/>
                <w:webHidden/>
              </w:rPr>
              <w:tab/>
            </w:r>
            <w:r w:rsidR="006B719F">
              <w:rPr>
                <w:noProof/>
                <w:webHidden/>
              </w:rPr>
              <w:fldChar w:fldCharType="begin"/>
            </w:r>
            <w:r w:rsidR="006B719F">
              <w:rPr>
                <w:noProof/>
                <w:webHidden/>
              </w:rPr>
              <w:instrText xml:space="preserve"> PAGEREF _Toc32407792 \h </w:instrText>
            </w:r>
            <w:r w:rsidR="006B719F">
              <w:rPr>
                <w:noProof/>
                <w:webHidden/>
              </w:rPr>
            </w:r>
            <w:r w:rsidR="006B719F">
              <w:rPr>
                <w:noProof/>
                <w:webHidden/>
              </w:rPr>
              <w:fldChar w:fldCharType="separate"/>
            </w:r>
            <w:r w:rsidR="000D65D2">
              <w:rPr>
                <w:noProof/>
                <w:webHidden/>
              </w:rPr>
              <w:t>9</w:t>
            </w:r>
            <w:r w:rsidR="006B719F">
              <w:rPr>
                <w:noProof/>
                <w:webHidden/>
              </w:rPr>
              <w:fldChar w:fldCharType="end"/>
            </w:r>
          </w:hyperlink>
        </w:p>
        <w:p w14:paraId="571AD1E0" w14:textId="2E93733C" w:rsidR="006B719F" w:rsidRDefault="005E3E52">
          <w:pPr>
            <w:pStyle w:val="Obsah3"/>
            <w:tabs>
              <w:tab w:val="right" w:pos="9016"/>
            </w:tabs>
            <w:rPr>
              <w:rFonts w:asciiTheme="minorHAnsi" w:eastAsiaTheme="minorEastAsia" w:hAnsiTheme="minorHAnsi" w:cstheme="minorBidi"/>
              <w:noProof/>
              <w:lang w:val="cs-CZ"/>
            </w:rPr>
          </w:pPr>
          <w:hyperlink w:anchor="_Toc32407793" w:history="1">
            <w:r w:rsidR="006B719F" w:rsidRPr="00272351">
              <w:rPr>
                <w:rStyle w:val="Hypertextovodkaz"/>
                <w:noProof/>
              </w:rPr>
              <w:t>2.3.1 Výdaje na mzdu/plat, resp. náhrady mzdy/platu za pracovní volno</w:t>
            </w:r>
            <w:r w:rsidR="006B719F">
              <w:rPr>
                <w:noProof/>
                <w:webHidden/>
              </w:rPr>
              <w:tab/>
            </w:r>
            <w:r w:rsidR="006B719F">
              <w:rPr>
                <w:noProof/>
                <w:webHidden/>
              </w:rPr>
              <w:fldChar w:fldCharType="begin"/>
            </w:r>
            <w:r w:rsidR="006B719F">
              <w:rPr>
                <w:noProof/>
                <w:webHidden/>
              </w:rPr>
              <w:instrText xml:space="preserve"> PAGEREF _Toc32407793 \h </w:instrText>
            </w:r>
            <w:r w:rsidR="006B719F">
              <w:rPr>
                <w:noProof/>
                <w:webHidden/>
              </w:rPr>
            </w:r>
            <w:r w:rsidR="006B719F">
              <w:rPr>
                <w:noProof/>
                <w:webHidden/>
              </w:rPr>
              <w:fldChar w:fldCharType="separate"/>
            </w:r>
            <w:r w:rsidR="000D65D2">
              <w:rPr>
                <w:noProof/>
                <w:webHidden/>
              </w:rPr>
              <w:t>9</w:t>
            </w:r>
            <w:r w:rsidR="006B719F">
              <w:rPr>
                <w:noProof/>
                <w:webHidden/>
              </w:rPr>
              <w:fldChar w:fldCharType="end"/>
            </w:r>
          </w:hyperlink>
        </w:p>
        <w:p w14:paraId="3AF26819" w14:textId="29EEE2C5" w:rsidR="006B719F" w:rsidRDefault="005E3E52">
          <w:pPr>
            <w:pStyle w:val="Obsah3"/>
            <w:tabs>
              <w:tab w:val="right" w:pos="9016"/>
            </w:tabs>
            <w:rPr>
              <w:rFonts w:asciiTheme="minorHAnsi" w:eastAsiaTheme="minorEastAsia" w:hAnsiTheme="minorHAnsi" w:cstheme="minorBidi"/>
              <w:noProof/>
              <w:lang w:val="cs-CZ"/>
            </w:rPr>
          </w:pPr>
          <w:hyperlink w:anchor="_Toc32407794" w:history="1">
            <w:r w:rsidR="006B719F" w:rsidRPr="00272351">
              <w:rPr>
                <w:rStyle w:val="Hypertextovodkaz"/>
                <w:noProof/>
              </w:rPr>
              <w:t>2.3.2 Výdaje na ubytování</w:t>
            </w:r>
            <w:r w:rsidR="006B719F">
              <w:rPr>
                <w:noProof/>
                <w:webHidden/>
              </w:rPr>
              <w:tab/>
            </w:r>
            <w:r w:rsidR="006B719F">
              <w:rPr>
                <w:noProof/>
                <w:webHidden/>
              </w:rPr>
              <w:fldChar w:fldCharType="begin"/>
            </w:r>
            <w:r w:rsidR="006B719F">
              <w:rPr>
                <w:noProof/>
                <w:webHidden/>
              </w:rPr>
              <w:instrText xml:space="preserve"> PAGEREF _Toc32407794 \h </w:instrText>
            </w:r>
            <w:r w:rsidR="006B719F">
              <w:rPr>
                <w:noProof/>
                <w:webHidden/>
              </w:rPr>
            </w:r>
            <w:r w:rsidR="006B719F">
              <w:rPr>
                <w:noProof/>
                <w:webHidden/>
              </w:rPr>
              <w:fldChar w:fldCharType="separate"/>
            </w:r>
            <w:r w:rsidR="000D65D2">
              <w:rPr>
                <w:noProof/>
                <w:webHidden/>
              </w:rPr>
              <w:t>10</w:t>
            </w:r>
            <w:r w:rsidR="006B719F">
              <w:rPr>
                <w:noProof/>
                <w:webHidden/>
              </w:rPr>
              <w:fldChar w:fldCharType="end"/>
            </w:r>
          </w:hyperlink>
        </w:p>
        <w:p w14:paraId="00906C3D" w14:textId="1A754F18" w:rsidR="006B719F" w:rsidRDefault="005E3E52">
          <w:pPr>
            <w:pStyle w:val="Obsah3"/>
            <w:tabs>
              <w:tab w:val="right" w:pos="9016"/>
            </w:tabs>
            <w:rPr>
              <w:rFonts w:asciiTheme="minorHAnsi" w:eastAsiaTheme="minorEastAsia" w:hAnsiTheme="minorHAnsi" w:cstheme="minorBidi"/>
              <w:noProof/>
              <w:lang w:val="cs-CZ"/>
            </w:rPr>
          </w:pPr>
          <w:hyperlink w:anchor="_Toc32407795" w:history="1">
            <w:r w:rsidR="006B719F" w:rsidRPr="00272351">
              <w:rPr>
                <w:rStyle w:val="Hypertextovodkaz"/>
                <w:noProof/>
              </w:rPr>
              <w:t>2.3.3 Výdaje na vzdělávací aktivity</w:t>
            </w:r>
            <w:r w:rsidR="006B719F">
              <w:rPr>
                <w:noProof/>
                <w:webHidden/>
              </w:rPr>
              <w:tab/>
            </w:r>
            <w:r w:rsidR="006B719F">
              <w:rPr>
                <w:noProof/>
                <w:webHidden/>
              </w:rPr>
              <w:fldChar w:fldCharType="begin"/>
            </w:r>
            <w:r w:rsidR="006B719F">
              <w:rPr>
                <w:noProof/>
                <w:webHidden/>
              </w:rPr>
              <w:instrText xml:space="preserve"> PAGEREF _Toc32407795 \h </w:instrText>
            </w:r>
            <w:r w:rsidR="006B719F">
              <w:rPr>
                <w:noProof/>
                <w:webHidden/>
              </w:rPr>
            </w:r>
            <w:r w:rsidR="006B719F">
              <w:rPr>
                <w:noProof/>
                <w:webHidden/>
              </w:rPr>
              <w:fldChar w:fldCharType="separate"/>
            </w:r>
            <w:r w:rsidR="000D65D2">
              <w:rPr>
                <w:noProof/>
                <w:webHidden/>
              </w:rPr>
              <w:t>11</w:t>
            </w:r>
            <w:r w:rsidR="006B719F">
              <w:rPr>
                <w:noProof/>
                <w:webHidden/>
              </w:rPr>
              <w:fldChar w:fldCharType="end"/>
            </w:r>
          </w:hyperlink>
        </w:p>
        <w:p w14:paraId="3F951BE1" w14:textId="1DE3C5EA" w:rsidR="006B719F" w:rsidRDefault="005E3E52">
          <w:pPr>
            <w:pStyle w:val="Obsah4"/>
            <w:tabs>
              <w:tab w:val="right" w:pos="9016"/>
            </w:tabs>
            <w:rPr>
              <w:rFonts w:asciiTheme="minorHAnsi" w:eastAsiaTheme="minorEastAsia" w:hAnsiTheme="minorHAnsi" w:cstheme="minorBidi"/>
              <w:noProof/>
              <w:lang w:val="cs-CZ"/>
            </w:rPr>
          </w:pPr>
          <w:hyperlink w:anchor="_Toc32407796" w:history="1">
            <w:r w:rsidR="006B719F" w:rsidRPr="00272351">
              <w:rPr>
                <w:rStyle w:val="Hypertextovodkaz"/>
                <w:noProof/>
              </w:rPr>
              <w:t>2.3.3.1 Rozlišení Příjemců</w:t>
            </w:r>
            <w:r w:rsidR="006B719F">
              <w:rPr>
                <w:noProof/>
                <w:webHidden/>
              </w:rPr>
              <w:tab/>
            </w:r>
            <w:r w:rsidR="006B719F">
              <w:rPr>
                <w:noProof/>
                <w:webHidden/>
              </w:rPr>
              <w:fldChar w:fldCharType="begin"/>
            </w:r>
            <w:r w:rsidR="006B719F">
              <w:rPr>
                <w:noProof/>
                <w:webHidden/>
              </w:rPr>
              <w:instrText xml:space="preserve"> PAGEREF _Toc32407796 \h </w:instrText>
            </w:r>
            <w:r w:rsidR="006B719F">
              <w:rPr>
                <w:noProof/>
                <w:webHidden/>
              </w:rPr>
            </w:r>
            <w:r w:rsidR="006B719F">
              <w:rPr>
                <w:noProof/>
                <w:webHidden/>
              </w:rPr>
              <w:fldChar w:fldCharType="separate"/>
            </w:r>
            <w:r w:rsidR="000D65D2">
              <w:rPr>
                <w:noProof/>
                <w:webHidden/>
              </w:rPr>
              <w:t>11</w:t>
            </w:r>
            <w:r w:rsidR="006B719F">
              <w:rPr>
                <w:noProof/>
                <w:webHidden/>
              </w:rPr>
              <w:fldChar w:fldCharType="end"/>
            </w:r>
          </w:hyperlink>
        </w:p>
        <w:p w14:paraId="565B57A9" w14:textId="6EA07605" w:rsidR="006B719F" w:rsidRDefault="005E3E52">
          <w:pPr>
            <w:pStyle w:val="Obsah4"/>
            <w:tabs>
              <w:tab w:val="right" w:pos="9016"/>
            </w:tabs>
            <w:rPr>
              <w:rFonts w:asciiTheme="minorHAnsi" w:eastAsiaTheme="minorEastAsia" w:hAnsiTheme="minorHAnsi" w:cstheme="minorBidi"/>
              <w:noProof/>
              <w:lang w:val="cs-CZ"/>
            </w:rPr>
          </w:pPr>
          <w:hyperlink w:anchor="_Toc32407797" w:history="1">
            <w:r w:rsidR="006B719F" w:rsidRPr="00272351">
              <w:rPr>
                <w:rStyle w:val="Hypertextovodkaz"/>
                <w:noProof/>
              </w:rPr>
              <w:t>2.3.3.2 Maximální limity pro vzdělávací aktivity</w:t>
            </w:r>
            <w:r w:rsidR="006B719F">
              <w:rPr>
                <w:noProof/>
                <w:webHidden/>
              </w:rPr>
              <w:tab/>
            </w:r>
            <w:r w:rsidR="006B719F">
              <w:rPr>
                <w:noProof/>
                <w:webHidden/>
              </w:rPr>
              <w:fldChar w:fldCharType="begin"/>
            </w:r>
            <w:r w:rsidR="006B719F">
              <w:rPr>
                <w:noProof/>
                <w:webHidden/>
              </w:rPr>
              <w:instrText xml:space="preserve"> PAGEREF _Toc32407797 \h </w:instrText>
            </w:r>
            <w:r w:rsidR="006B719F">
              <w:rPr>
                <w:noProof/>
                <w:webHidden/>
              </w:rPr>
            </w:r>
            <w:r w:rsidR="006B719F">
              <w:rPr>
                <w:noProof/>
                <w:webHidden/>
              </w:rPr>
              <w:fldChar w:fldCharType="separate"/>
            </w:r>
            <w:r w:rsidR="000D65D2">
              <w:rPr>
                <w:noProof/>
                <w:webHidden/>
              </w:rPr>
              <w:t>11</w:t>
            </w:r>
            <w:r w:rsidR="006B719F">
              <w:rPr>
                <w:noProof/>
                <w:webHidden/>
              </w:rPr>
              <w:fldChar w:fldCharType="end"/>
            </w:r>
          </w:hyperlink>
        </w:p>
        <w:p w14:paraId="093EDA4C" w14:textId="56FA9C64" w:rsidR="006B719F" w:rsidRDefault="005E3E52">
          <w:pPr>
            <w:pStyle w:val="Obsah4"/>
            <w:tabs>
              <w:tab w:val="right" w:pos="9016"/>
            </w:tabs>
            <w:rPr>
              <w:rFonts w:asciiTheme="minorHAnsi" w:eastAsiaTheme="minorEastAsia" w:hAnsiTheme="minorHAnsi" w:cstheme="minorBidi"/>
              <w:noProof/>
              <w:lang w:val="cs-CZ"/>
            </w:rPr>
          </w:pPr>
          <w:hyperlink w:anchor="_Toc32407798" w:history="1">
            <w:r w:rsidR="006B719F" w:rsidRPr="00272351">
              <w:rPr>
                <w:rStyle w:val="Hypertextovodkaz"/>
                <w:noProof/>
              </w:rPr>
              <w:t>2.3.3.3 DPH</w:t>
            </w:r>
            <w:r w:rsidR="006B719F">
              <w:rPr>
                <w:noProof/>
                <w:webHidden/>
              </w:rPr>
              <w:tab/>
            </w:r>
            <w:r w:rsidR="006B719F">
              <w:rPr>
                <w:noProof/>
                <w:webHidden/>
              </w:rPr>
              <w:fldChar w:fldCharType="begin"/>
            </w:r>
            <w:r w:rsidR="006B719F">
              <w:rPr>
                <w:noProof/>
                <w:webHidden/>
              </w:rPr>
              <w:instrText xml:space="preserve"> PAGEREF _Toc32407798 \h </w:instrText>
            </w:r>
            <w:r w:rsidR="006B719F">
              <w:rPr>
                <w:noProof/>
                <w:webHidden/>
              </w:rPr>
            </w:r>
            <w:r w:rsidR="006B719F">
              <w:rPr>
                <w:noProof/>
                <w:webHidden/>
              </w:rPr>
              <w:fldChar w:fldCharType="separate"/>
            </w:r>
            <w:r w:rsidR="000D65D2">
              <w:rPr>
                <w:noProof/>
                <w:webHidden/>
              </w:rPr>
              <w:t>13</w:t>
            </w:r>
            <w:r w:rsidR="006B719F">
              <w:rPr>
                <w:noProof/>
                <w:webHidden/>
              </w:rPr>
              <w:fldChar w:fldCharType="end"/>
            </w:r>
          </w:hyperlink>
        </w:p>
        <w:p w14:paraId="4B49384D" w14:textId="37D0FAED" w:rsidR="006B719F" w:rsidRDefault="005E3E52">
          <w:pPr>
            <w:pStyle w:val="Obsah4"/>
            <w:tabs>
              <w:tab w:val="right" w:pos="9016"/>
            </w:tabs>
            <w:rPr>
              <w:rFonts w:asciiTheme="minorHAnsi" w:eastAsiaTheme="minorEastAsia" w:hAnsiTheme="minorHAnsi" w:cstheme="minorBidi"/>
              <w:noProof/>
              <w:lang w:val="cs-CZ"/>
            </w:rPr>
          </w:pPr>
          <w:hyperlink w:anchor="_Toc32407799" w:history="1">
            <w:r w:rsidR="006B719F" w:rsidRPr="00272351">
              <w:rPr>
                <w:rStyle w:val="Hypertextovodkaz"/>
                <w:noProof/>
              </w:rPr>
              <w:t>2.3.3.4 Oblasti způsobilých výdajů Vzdělávacích pracovišť</w:t>
            </w:r>
            <w:r w:rsidR="006B719F">
              <w:rPr>
                <w:noProof/>
                <w:webHidden/>
              </w:rPr>
              <w:tab/>
            </w:r>
            <w:r w:rsidR="006B719F">
              <w:rPr>
                <w:noProof/>
                <w:webHidden/>
              </w:rPr>
              <w:fldChar w:fldCharType="begin"/>
            </w:r>
            <w:r w:rsidR="006B719F">
              <w:rPr>
                <w:noProof/>
                <w:webHidden/>
              </w:rPr>
              <w:instrText xml:space="preserve"> PAGEREF _Toc32407799 \h </w:instrText>
            </w:r>
            <w:r w:rsidR="006B719F">
              <w:rPr>
                <w:noProof/>
                <w:webHidden/>
              </w:rPr>
            </w:r>
            <w:r w:rsidR="006B719F">
              <w:rPr>
                <w:noProof/>
                <w:webHidden/>
              </w:rPr>
              <w:fldChar w:fldCharType="separate"/>
            </w:r>
            <w:r w:rsidR="000D65D2">
              <w:rPr>
                <w:noProof/>
                <w:webHidden/>
              </w:rPr>
              <w:t>13</w:t>
            </w:r>
            <w:r w:rsidR="006B719F">
              <w:rPr>
                <w:noProof/>
                <w:webHidden/>
              </w:rPr>
              <w:fldChar w:fldCharType="end"/>
            </w:r>
          </w:hyperlink>
        </w:p>
        <w:p w14:paraId="5301BFA2" w14:textId="77231BAA" w:rsidR="006B719F" w:rsidRDefault="005E3E52">
          <w:pPr>
            <w:pStyle w:val="Obsah5"/>
            <w:tabs>
              <w:tab w:val="right" w:pos="9016"/>
            </w:tabs>
            <w:rPr>
              <w:rFonts w:asciiTheme="minorHAnsi" w:eastAsiaTheme="minorEastAsia" w:hAnsiTheme="minorHAnsi" w:cstheme="minorBidi"/>
              <w:noProof/>
              <w:lang w:val="cs-CZ"/>
            </w:rPr>
          </w:pPr>
          <w:hyperlink w:anchor="_Toc32407800" w:history="1">
            <w:r w:rsidR="006B719F" w:rsidRPr="00272351">
              <w:rPr>
                <w:rStyle w:val="Hypertextovodkaz"/>
                <w:noProof/>
              </w:rPr>
              <w:t>2.3.3.4.1 Osobní náklady</w:t>
            </w:r>
            <w:r w:rsidR="006B719F">
              <w:rPr>
                <w:noProof/>
                <w:webHidden/>
              </w:rPr>
              <w:tab/>
            </w:r>
            <w:r w:rsidR="006B719F">
              <w:rPr>
                <w:noProof/>
                <w:webHidden/>
              </w:rPr>
              <w:fldChar w:fldCharType="begin"/>
            </w:r>
            <w:r w:rsidR="006B719F">
              <w:rPr>
                <w:noProof/>
                <w:webHidden/>
              </w:rPr>
              <w:instrText xml:space="preserve"> PAGEREF _Toc32407800 \h </w:instrText>
            </w:r>
            <w:r w:rsidR="006B719F">
              <w:rPr>
                <w:noProof/>
                <w:webHidden/>
              </w:rPr>
            </w:r>
            <w:r w:rsidR="006B719F">
              <w:rPr>
                <w:noProof/>
                <w:webHidden/>
              </w:rPr>
              <w:fldChar w:fldCharType="separate"/>
            </w:r>
            <w:r w:rsidR="000D65D2">
              <w:rPr>
                <w:noProof/>
                <w:webHidden/>
              </w:rPr>
              <w:t>14</w:t>
            </w:r>
            <w:r w:rsidR="006B719F">
              <w:rPr>
                <w:noProof/>
                <w:webHidden/>
              </w:rPr>
              <w:fldChar w:fldCharType="end"/>
            </w:r>
          </w:hyperlink>
        </w:p>
        <w:p w14:paraId="052185A5" w14:textId="1C37A7A6" w:rsidR="006B719F" w:rsidRDefault="005E3E52">
          <w:pPr>
            <w:pStyle w:val="Obsah5"/>
            <w:tabs>
              <w:tab w:val="right" w:pos="9016"/>
            </w:tabs>
            <w:rPr>
              <w:rFonts w:asciiTheme="minorHAnsi" w:eastAsiaTheme="minorEastAsia" w:hAnsiTheme="minorHAnsi" w:cstheme="minorBidi"/>
              <w:noProof/>
              <w:lang w:val="cs-CZ"/>
            </w:rPr>
          </w:pPr>
          <w:hyperlink w:anchor="_Toc32407801" w:history="1">
            <w:r w:rsidR="006B719F" w:rsidRPr="00272351">
              <w:rPr>
                <w:rStyle w:val="Hypertextovodkaz"/>
                <w:noProof/>
              </w:rPr>
              <w:t>2.3.3.4.2 Nákup služeb</w:t>
            </w:r>
            <w:r w:rsidR="006B719F">
              <w:rPr>
                <w:noProof/>
                <w:webHidden/>
              </w:rPr>
              <w:tab/>
            </w:r>
            <w:r w:rsidR="006B719F">
              <w:rPr>
                <w:noProof/>
                <w:webHidden/>
              </w:rPr>
              <w:fldChar w:fldCharType="begin"/>
            </w:r>
            <w:r w:rsidR="006B719F">
              <w:rPr>
                <w:noProof/>
                <w:webHidden/>
              </w:rPr>
              <w:instrText xml:space="preserve"> PAGEREF _Toc32407801 \h </w:instrText>
            </w:r>
            <w:r w:rsidR="006B719F">
              <w:rPr>
                <w:noProof/>
                <w:webHidden/>
              </w:rPr>
            </w:r>
            <w:r w:rsidR="006B719F">
              <w:rPr>
                <w:noProof/>
                <w:webHidden/>
              </w:rPr>
              <w:fldChar w:fldCharType="separate"/>
            </w:r>
            <w:r w:rsidR="000D65D2">
              <w:rPr>
                <w:noProof/>
                <w:webHidden/>
              </w:rPr>
              <w:t>15</w:t>
            </w:r>
            <w:r w:rsidR="006B719F">
              <w:rPr>
                <w:noProof/>
                <w:webHidden/>
              </w:rPr>
              <w:fldChar w:fldCharType="end"/>
            </w:r>
          </w:hyperlink>
        </w:p>
        <w:p w14:paraId="7210AB9B" w14:textId="7F7B45A2" w:rsidR="006B719F" w:rsidRDefault="005E3E52">
          <w:pPr>
            <w:pStyle w:val="Obsah5"/>
            <w:tabs>
              <w:tab w:val="right" w:pos="9016"/>
            </w:tabs>
            <w:rPr>
              <w:rFonts w:asciiTheme="minorHAnsi" w:eastAsiaTheme="minorEastAsia" w:hAnsiTheme="minorHAnsi" w:cstheme="minorBidi"/>
              <w:noProof/>
              <w:lang w:val="cs-CZ"/>
            </w:rPr>
          </w:pPr>
          <w:hyperlink w:anchor="_Toc32407802" w:history="1">
            <w:r w:rsidR="006B719F" w:rsidRPr="00272351">
              <w:rPr>
                <w:rStyle w:val="Hypertextovodkaz"/>
                <w:noProof/>
              </w:rPr>
              <w:t>2.3.3.4.3 Nákup občerstvení</w:t>
            </w:r>
            <w:r w:rsidR="006B719F">
              <w:rPr>
                <w:noProof/>
                <w:webHidden/>
              </w:rPr>
              <w:tab/>
            </w:r>
            <w:r w:rsidR="006B719F">
              <w:rPr>
                <w:noProof/>
                <w:webHidden/>
              </w:rPr>
              <w:fldChar w:fldCharType="begin"/>
            </w:r>
            <w:r w:rsidR="006B719F">
              <w:rPr>
                <w:noProof/>
                <w:webHidden/>
              </w:rPr>
              <w:instrText xml:space="preserve"> PAGEREF _Toc32407802 \h </w:instrText>
            </w:r>
            <w:r w:rsidR="006B719F">
              <w:rPr>
                <w:noProof/>
                <w:webHidden/>
              </w:rPr>
            </w:r>
            <w:r w:rsidR="006B719F">
              <w:rPr>
                <w:noProof/>
                <w:webHidden/>
              </w:rPr>
              <w:fldChar w:fldCharType="separate"/>
            </w:r>
            <w:r w:rsidR="000D65D2">
              <w:rPr>
                <w:noProof/>
                <w:webHidden/>
              </w:rPr>
              <w:t>15</w:t>
            </w:r>
            <w:r w:rsidR="006B719F">
              <w:rPr>
                <w:noProof/>
                <w:webHidden/>
              </w:rPr>
              <w:fldChar w:fldCharType="end"/>
            </w:r>
          </w:hyperlink>
        </w:p>
        <w:p w14:paraId="04946102" w14:textId="09912D29" w:rsidR="006B719F" w:rsidRDefault="005E3E52">
          <w:pPr>
            <w:pStyle w:val="Obsah5"/>
            <w:tabs>
              <w:tab w:val="right" w:pos="9016"/>
            </w:tabs>
            <w:rPr>
              <w:rFonts w:asciiTheme="minorHAnsi" w:eastAsiaTheme="minorEastAsia" w:hAnsiTheme="minorHAnsi" w:cstheme="minorBidi"/>
              <w:noProof/>
              <w:lang w:val="cs-CZ"/>
            </w:rPr>
          </w:pPr>
          <w:hyperlink w:anchor="_Toc32407803" w:history="1">
            <w:r w:rsidR="006B719F" w:rsidRPr="00272351">
              <w:rPr>
                <w:rStyle w:val="Hypertextovodkaz"/>
                <w:noProof/>
              </w:rPr>
              <w:t>2.3.3.4.4 Další druhy výdajů</w:t>
            </w:r>
            <w:r w:rsidR="006B719F">
              <w:rPr>
                <w:noProof/>
                <w:webHidden/>
              </w:rPr>
              <w:tab/>
            </w:r>
            <w:r w:rsidR="006B719F">
              <w:rPr>
                <w:noProof/>
                <w:webHidden/>
              </w:rPr>
              <w:fldChar w:fldCharType="begin"/>
            </w:r>
            <w:r w:rsidR="006B719F">
              <w:rPr>
                <w:noProof/>
                <w:webHidden/>
              </w:rPr>
              <w:instrText xml:space="preserve"> PAGEREF _Toc32407803 \h </w:instrText>
            </w:r>
            <w:r w:rsidR="006B719F">
              <w:rPr>
                <w:noProof/>
                <w:webHidden/>
              </w:rPr>
            </w:r>
            <w:r w:rsidR="006B719F">
              <w:rPr>
                <w:noProof/>
                <w:webHidden/>
              </w:rPr>
              <w:fldChar w:fldCharType="separate"/>
            </w:r>
            <w:r w:rsidR="000D65D2">
              <w:rPr>
                <w:noProof/>
                <w:webHidden/>
              </w:rPr>
              <w:t>16</w:t>
            </w:r>
            <w:r w:rsidR="006B719F">
              <w:rPr>
                <w:noProof/>
                <w:webHidden/>
              </w:rPr>
              <w:fldChar w:fldCharType="end"/>
            </w:r>
          </w:hyperlink>
        </w:p>
        <w:p w14:paraId="4B5A3B67" w14:textId="697DDC2E" w:rsidR="006B719F" w:rsidRDefault="005E3E52">
          <w:pPr>
            <w:pStyle w:val="Obsah1"/>
            <w:tabs>
              <w:tab w:val="right" w:pos="9016"/>
            </w:tabs>
            <w:rPr>
              <w:rFonts w:asciiTheme="minorHAnsi" w:eastAsiaTheme="minorEastAsia" w:hAnsiTheme="minorHAnsi" w:cstheme="minorBidi"/>
              <w:noProof/>
              <w:lang w:val="cs-CZ"/>
            </w:rPr>
          </w:pPr>
          <w:hyperlink w:anchor="_Toc32407804" w:history="1">
            <w:r w:rsidR="006B719F" w:rsidRPr="00272351">
              <w:rPr>
                <w:rStyle w:val="Hypertextovodkaz"/>
                <w:noProof/>
              </w:rPr>
              <w:t>3. MONITOROVÁNÍ A VYÚČTOVÁNÍ</w:t>
            </w:r>
            <w:r w:rsidR="006B719F">
              <w:rPr>
                <w:noProof/>
                <w:webHidden/>
              </w:rPr>
              <w:tab/>
            </w:r>
            <w:r w:rsidR="006B719F">
              <w:rPr>
                <w:noProof/>
                <w:webHidden/>
              </w:rPr>
              <w:fldChar w:fldCharType="begin"/>
            </w:r>
            <w:r w:rsidR="006B719F">
              <w:rPr>
                <w:noProof/>
                <w:webHidden/>
              </w:rPr>
              <w:instrText xml:space="preserve"> PAGEREF _Toc32407804 \h </w:instrText>
            </w:r>
            <w:r w:rsidR="006B719F">
              <w:rPr>
                <w:noProof/>
                <w:webHidden/>
              </w:rPr>
            </w:r>
            <w:r w:rsidR="006B719F">
              <w:rPr>
                <w:noProof/>
                <w:webHidden/>
              </w:rPr>
              <w:fldChar w:fldCharType="separate"/>
            </w:r>
            <w:r w:rsidR="000D65D2">
              <w:rPr>
                <w:noProof/>
                <w:webHidden/>
              </w:rPr>
              <w:t>16</w:t>
            </w:r>
            <w:r w:rsidR="006B719F">
              <w:rPr>
                <w:noProof/>
                <w:webHidden/>
              </w:rPr>
              <w:fldChar w:fldCharType="end"/>
            </w:r>
          </w:hyperlink>
        </w:p>
        <w:p w14:paraId="5FA5C8AA" w14:textId="36B7115C" w:rsidR="006B719F" w:rsidRDefault="005E3E52">
          <w:pPr>
            <w:pStyle w:val="Obsah2"/>
            <w:tabs>
              <w:tab w:val="right" w:pos="9016"/>
            </w:tabs>
            <w:rPr>
              <w:rFonts w:asciiTheme="minorHAnsi" w:eastAsiaTheme="minorEastAsia" w:hAnsiTheme="minorHAnsi" w:cstheme="minorBidi"/>
              <w:noProof/>
              <w:lang w:val="cs-CZ"/>
            </w:rPr>
          </w:pPr>
          <w:hyperlink w:anchor="_Toc32407805" w:history="1">
            <w:r w:rsidR="006B719F" w:rsidRPr="00272351">
              <w:rPr>
                <w:rStyle w:val="Hypertextovodkaz"/>
                <w:noProof/>
              </w:rPr>
              <w:t>3.1 MONITOROVACÍ OBDOBÍ</w:t>
            </w:r>
            <w:r w:rsidR="006B719F">
              <w:rPr>
                <w:noProof/>
                <w:webHidden/>
              </w:rPr>
              <w:tab/>
            </w:r>
            <w:r w:rsidR="006B719F">
              <w:rPr>
                <w:noProof/>
                <w:webHidden/>
              </w:rPr>
              <w:fldChar w:fldCharType="begin"/>
            </w:r>
            <w:r w:rsidR="006B719F">
              <w:rPr>
                <w:noProof/>
                <w:webHidden/>
              </w:rPr>
              <w:instrText xml:space="preserve"> PAGEREF _Toc32407805 \h </w:instrText>
            </w:r>
            <w:r w:rsidR="006B719F">
              <w:rPr>
                <w:noProof/>
                <w:webHidden/>
              </w:rPr>
            </w:r>
            <w:r w:rsidR="006B719F">
              <w:rPr>
                <w:noProof/>
                <w:webHidden/>
              </w:rPr>
              <w:fldChar w:fldCharType="separate"/>
            </w:r>
            <w:r w:rsidR="000D65D2">
              <w:rPr>
                <w:noProof/>
                <w:webHidden/>
              </w:rPr>
              <w:t>16</w:t>
            </w:r>
            <w:r w:rsidR="006B719F">
              <w:rPr>
                <w:noProof/>
                <w:webHidden/>
              </w:rPr>
              <w:fldChar w:fldCharType="end"/>
            </w:r>
          </w:hyperlink>
        </w:p>
        <w:p w14:paraId="76101153" w14:textId="741A9E8F" w:rsidR="006B719F" w:rsidRDefault="005E3E52">
          <w:pPr>
            <w:pStyle w:val="Obsah2"/>
            <w:tabs>
              <w:tab w:val="right" w:pos="9016"/>
            </w:tabs>
            <w:rPr>
              <w:rFonts w:asciiTheme="minorHAnsi" w:eastAsiaTheme="minorEastAsia" w:hAnsiTheme="minorHAnsi" w:cstheme="minorBidi"/>
              <w:noProof/>
              <w:lang w:val="cs-CZ"/>
            </w:rPr>
          </w:pPr>
          <w:hyperlink w:anchor="_Toc32407806" w:history="1">
            <w:r w:rsidR="006B719F" w:rsidRPr="00272351">
              <w:rPr>
                <w:rStyle w:val="Hypertextovodkaz"/>
                <w:noProof/>
              </w:rPr>
              <w:t>3.2 OBECNÉ POKYNY K VYÚČTOVÁNÍ</w:t>
            </w:r>
            <w:r w:rsidR="006B719F">
              <w:rPr>
                <w:noProof/>
                <w:webHidden/>
              </w:rPr>
              <w:tab/>
            </w:r>
            <w:r w:rsidR="006B719F">
              <w:rPr>
                <w:noProof/>
                <w:webHidden/>
              </w:rPr>
              <w:fldChar w:fldCharType="begin"/>
            </w:r>
            <w:r w:rsidR="006B719F">
              <w:rPr>
                <w:noProof/>
                <w:webHidden/>
              </w:rPr>
              <w:instrText xml:space="preserve"> PAGEREF _Toc32407806 \h </w:instrText>
            </w:r>
            <w:r w:rsidR="006B719F">
              <w:rPr>
                <w:noProof/>
                <w:webHidden/>
              </w:rPr>
            </w:r>
            <w:r w:rsidR="006B719F">
              <w:rPr>
                <w:noProof/>
                <w:webHidden/>
              </w:rPr>
              <w:fldChar w:fldCharType="separate"/>
            </w:r>
            <w:r w:rsidR="000D65D2">
              <w:rPr>
                <w:noProof/>
                <w:webHidden/>
              </w:rPr>
              <w:t>17</w:t>
            </w:r>
            <w:r w:rsidR="006B719F">
              <w:rPr>
                <w:noProof/>
                <w:webHidden/>
              </w:rPr>
              <w:fldChar w:fldCharType="end"/>
            </w:r>
          </w:hyperlink>
        </w:p>
        <w:p w14:paraId="617588BF" w14:textId="3DB253B5" w:rsidR="006B719F" w:rsidRDefault="005E3E52">
          <w:pPr>
            <w:pStyle w:val="Obsah2"/>
            <w:tabs>
              <w:tab w:val="right" w:pos="9016"/>
            </w:tabs>
            <w:rPr>
              <w:rFonts w:asciiTheme="minorHAnsi" w:eastAsiaTheme="minorEastAsia" w:hAnsiTheme="minorHAnsi" w:cstheme="minorBidi"/>
              <w:noProof/>
              <w:lang w:val="cs-CZ"/>
            </w:rPr>
          </w:pPr>
          <w:hyperlink w:anchor="_Toc32407807" w:history="1">
            <w:r w:rsidR="006B719F" w:rsidRPr="00272351">
              <w:rPr>
                <w:rStyle w:val="Hypertextovodkaz"/>
                <w:noProof/>
              </w:rPr>
              <w:t>3.3 SEZNAM PODKLADŮ K VYÚČTOVÁNÍ</w:t>
            </w:r>
            <w:r w:rsidR="006B719F">
              <w:rPr>
                <w:noProof/>
                <w:webHidden/>
              </w:rPr>
              <w:tab/>
            </w:r>
            <w:r w:rsidR="006B719F">
              <w:rPr>
                <w:noProof/>
                <w:webHidden/>
              </w:rPr>
              <w:fldChar w:fldCharType="begin"/>
            </w:r>
            <w:r w:rsidR="006B719F">
              <w:rPr>
                <w:noProof/>
                <w:webHidden/>
              </w:rPr>
              <w:instrText xml:space="preserve"> PAGEREF _Toc32407807 \h </w:instrText>
            </w:r>
            <w:r w:rsidR="006B719F">
              <w:rPr>
                <w:noProof/>
                <w:webHidden/>
              </w:rPr>
            </w:r>
            <w:r w:rsidR="006B719F">
              <w:rPr>
                <w:noProof/>
                <w:webHidden/>
              </w:rPr>
              <w:fldChar w:fldCharType="separate"/>
            </w:r>
            <w:r w:rsidR="000D65D2">
              <w:rPr>
                <w:noProof/>
                <w:webHidden/>
              </w:rPr>
              <w:t>17</w:t>
            </w:r>
            <w:r w:rsidR="006B719F">
              <w:rPr>
                <w:noProof/>
                <w:webHidden/>
              </w:rPr>
              <w:fldChar w:fldCharType="end"/>
            </w:r>
          </w:hyperlink>
        </w:p>
        <w:p w14:paraId="750C014B" w14:textId="1D80F60C" w:rsidR="006B719F" w:rsidRDefault="005E3E52">
          <w:pPr>
            <w:pStyle w:val="Obsah2"/>
            <w:tabs>
              <w:tab w:val="right" w:pos="9016"/>
            </w:tabs>
            <w:rPr>
              <w:rFonts w:asciiTheme="minorHAnsi" w:eastAsiaTheme="minorEastAsia" w:hAnsiTheme="minorHAnsi" w:cstheme="minorBidi"/>
              <w:noProof/>
              <w:lang w:val="cs-CZ"/>
            </w:rPr>
          </w:pPr>
          <w:hyperlink w:anchor="_Toc32407808" w:history="1">
            <w:r w:rsidR="006B719F" w:rsidRPr="00272351">
              <w:rPr>
                <w:rStyle w:val="Hypertextovodkaz"/>
                <w:noProof/>
              </w:rPr>
              <w:t>3.4 VYÚČTOVÁNÍ</w:t>
            </w:r>
            <w:r w:rsidR="006B719F">
              <w:rPr>
                <w:noProof/>
                <w:webHidden/>
              </w:rPr>
              <w:tab/>
            </w:r>
            <w:r w:rsidR="006B719F">
              <w:rPr>
                <w:noProof/>
                <w:webHidden/>
              </w:rPr>
              <w:fldChar w:fldCharType="begin"/>
            </w:r>
            <w:r w:rsidR="006B719F">
              <w:rPr>
                <w:noProof/>
                <w:webHidden/>
              </w:rPr>
              <w:instrText xml:space="preserve"> PAGEREF _Toc32407808 \h </w:instrText>
            </w:r>
            <w:r w:rsidR="006B719F">
              <w:rPr>
                <w:noProof/>
                <w:webHidden/>
              </w:rPr>
            </w:r>
            <w:r w:rsidR="006B719F">
              <w:rPr>
                <w:noProof/>
                <w:webHidden/>
              </w:rPr>
              <w:fldChar w:fldCharType="separate"/>
            </w:r>
            <w:r w:rsidR="000D65D2">
              <w:rPr>
                <w:noProof/>
                <w:webHidden/>
              </w:rPr>
              <w:t>20</w:t>
            </w:r>
            <w:r w:rsidR="006B719F">
              <w:rPr>
                <w:noProof/>
                <w:webHidden/>
              </w:rPr>
              <w:fldChar w:fldCharType="end"/>
            </w:r>
          </w:hyperlink>
        </w:p>
        <w:p w14:paraId="689A8863" w14:textId="0E63E306" w:rsidR="006B719F" w:rsidRDefault="005E3E52">
          <w:pPr>
            <w:pStyle w:val="Obsah1"/>
            <w:tabs>
              <w:tab w:val="right" w:pos="9016"/>
            </w:tabs>
            <w:rPr>
              <w:rFonts w:asciiTheme="minorHAnsi" w:eastAsiaTheme="minorEastAsia" w:hAnsiTheme="minorHAnsi" w:cstheme="minorBidi"/>
              <w:noProof/>
              <w:lang w:val="cs-CZ"/>
            </w:rPr>
          </w:pPr>
          <w:hyperlink w:anchor="_Toc32407809" w:history="1">
            <w:r w:rsidR="006B719F" w:rsidRPr="00272351">
              <w:rPr>
                <w:rStyle w:val="Hypertextovodkaz"/>
                <w:noProof/>
              </w:rPr>
              <w:t>4. PUBLICITA</w:t>
            </w:r>
            <w:r w:rsidR="006B719F">
              <w:rPr>
                <w:noProof/>
                <w:webHidden/>
              </w:rPr>
              <w:tab/>
            </w:r>
            <w:r w:rsidR="006B719F">
              <w:rPr>
                <w:noProof/>
                <w:webHidden/>
              </w:rPr>
              <w:fldChar w:fldCharType="begin"/>
            </w:r>
            <w:r w:rsidR="006B719F">
              <w:rPr>
                <w:noProof/>
                <w:webHidden/>
              </w:rPr>
              <w:instrText xml:space="preserve"> PAGEREF _Toc32407809 \h </w:instrText>
            </w:r>
            <w:r w:rsidR="006B719F">
              <w:rPr>
                <w:noProof/>
                <w:webHidden/>
              </w:rPr>
            </w:r>
            <w:r w:rsidR="006B719F">
              <w:rPr>
                <w:noProof/>
                <w:webHidden/>
              </w:rPr>
              <w:fldChar w:fldCharType="separate"/>
            </w:r>
            <w:r w:rsidR="000D65D2">
              <w:rPr>
                <w:noProof/>
                <w:webHidden/>
              </w:rPr>
              <w:t>23</w:t>
            </w:r>
            <w:r w:rsidR="006B719F">
              <w:rPr>
                <w:noProof/>
                <w:webHidden/>
              </w:rPr>
              <w:fldChar w:fldCharType="end"/>
            </w:r>
          </w:hyperlink>
        </w:p>
        <w:p w14:paraId="0B6F3EC5" w14:textId="686416F2" w:rsidR="006B719F" w:rsidRDefault="005E3E52">
          <w:pPr>
            <w:pStyle w:val="Obsah1"/>
            <w:tabs>
              <w:tab w:val="right" w:pos="9016"/>
            </w:tabs>
            <w:rPr>
              <w:rFonts w:asciiTheme="minorHAnsi" w:eastAsiaTheme="minorEastAsia" w:hAnsiTheme="minorHAnsi" w:cstheme="minorBidi"/>
              <w:noProof/>
              <w:lang w:val="cs-CZ"/>
            </w:rPr>
          </w:pPr>
          <w:hyperlink w:anchor="_Toc32407810" w:history="1">
            <w:r w:rsidR="006B719F" w:rsidRPr="00272351">
              <w:rPr>
                <w:rStyle w:val="Hypertextovodkaz"/>
                <w:noProof/>
              </w:rPr>
              <w:t>5. ZMĚNY</w:t>
            </w:r>
            <w:r w:rsidR="006B719F">
              <w:rPr>
                <w:noProof/>
                <w:webHidden/>
              </w:rPr>
              <w:tab/>
            </w:r>
            <w:r w:rsidR="006B719F">
              <w:rPr>
                <w:noProof/>
                <w:webHidden/>
              </w:rPr>
              <w:fldChar w:fldCharType="begin"/>
            </w:r>
            <w:r w:rsidR="006B719F">
              <w:rPr>
                <w:noProof/>
                <w:webHidden/>
              </w:rPr>
              <w:instrText xml:space="preserve"> PAGEREF _Toc32407810 \h </w:instrText>
            </w:r>
            <w:r w:rsidR="006B719F">
              <w:rPr>
                <w:noProof/>
                <w:webHidden/>
              </w:rPr>
            </w:r>
            <w:r w:rsidR="006B719F">
              <w:rPr>
                <w:noProof/>
                <w:webHidden/>
              </w:rPr>
              <w:fldChar w:fldCharType="separate"/>
            </w:r>
            <w:r w:rsidR="000D65D2">
              <w:rPr>
                <w:noProof/>
                <w:webHidden/>
              </w:rPr>
              <w:t>24</w:t>
            </w:r>
            <w:r w:rsidR="006B719F">
              <w:rPr>
                <w:noProof/>
                <w:webHidden/>
              </w:rPr>
              <w:fldChar w:fldCharType="end"/>
            </w:r>
          </w:hyperlink>
        </w:p>
        <w:p w14:paraId="45C7C842" w14:textId="64A2C2E6" w:rsidR="006B719F" w:rsidRDefault="005E3E52">
          <w:pPr>
            <w:pStyle w:val="Obsah2"/>
            <w:tabs>
              <w:tab w:val="right" w:pos="9016"/>
            </w:tabs>
            <w:rPr>
              <w:rFonts w:asciiTheme="minorHAnsi" w:eastAsiaTheme="minorEastAsia" w:hAnsiTheme="minorHAnsi" w:cstheme="minorBidi"/>
              <w:noProof/>
              <w:lang w:val="cs-CZ"/>
            </w:rPr>
          </w:pPr>
          <w:hyperlink w:anchor="_Toc32407811" w:history="1">
            <w:r w:rsidR="006B719F" w:rsidRPr="00272351">
              <w:rPr>
                <w:rStyle w:val="Hypertextovodkaz"/>
                <w:noProof/>
              </w:rPr>
              <w:t>5.1 OBECNÉ INFORMACE KE ZMĚNÁM</w:t>
            </w:r>
            <w:r w:rsidR="006B719F">
              <w:rPr>
                <w:noProof/>
                <w:webHidden/>
              </w:rPr>
              <w:tab/>
            </w:r>
            <w:r w:rsidR="006B719F">
              <w:rPr>
                <w:noProof/>
                <w:webHidden/>
              </w:rPr>
              <w:fldChar w:fldCharType="begin"/>
            </w:r>
            <w:r w:rsidR="006B719F">
              <w:rPr>
                <w:noProof/>
                <w:webHidden/>
              </w:rPr>
              <w:instrText xml:space="preserve"> PAGEREF _Toc32407811 \h </w:instrText>
            </w:r>
            <w:r w:rsidR="006B719F">
              <w:rPr>
                <w:noProof/>
                <w:webHidden/>
              </w:rPr>
            </w:r>
            <w:r w:rsidR="006B719F">
              <w:rPr>
                <w:noProof/>
                <w:webHidden/>
              </w:rPr>
              <w:fldChar w:fldCharType="separate"/>
            </w:r>
            <w:r w:rsidR="000D65D2">
              <w:rPr>
                <w:noProof/>
                <w:webHidden/>
              </w:rPr>
              <w:t>24</w:t>
            </w:r>
            <w:r w:rsidR="006B719F">
              <w:rPr>
                <w:noProof/>
                <w:webHidden/>
              </w:rPr>
              <w:fldChar w:fldCharType="end"/>
            </w:r>
          </w:hyperlink>
        </w:p>
        <w:p w14:paraId="1C5A6AC3" w14:textId="15649391" w:rsidR="006B719F" w:rsidRDefault="005E3E52">
          <w:pPr>
            <w:pStyle w:val="Obsah2"/>
            <w:tabs>
              <w:tab w:val="right" w:pos="9016"/>
            </w:tabs>
            <w:rPr>
              <w:rFonts w:asciiTheme="minorHAnsi" w:eastAsiaTheme="minorEastAsia" w:hAnsiTheme="minorHAnsi" w:cstheme="minorBidi"/>
              <w:noProof/>
              <w:lang w:val="cs-CZ"/>
            </w:rPr>
          </w:pPr>
          <w:hyperlink w:anchor="_Toc32407812" w:history="1">
            <w:r w:rsidR="006B719F" w:rsidRPr="00272351">
              <w:rPr>
                <w:rStyle w:val="Hypertextovodkaz"/>
                <w:noProof/>
              </w:rPr>
              <w:t>5.2 ROZDĚLENÍ ZMĚN</w:t>
            </w:r>
            <w:r w:rsidR="006B719F">
              <w:rPr>
                <w:noProof/>
                <w:webHidden/>
              </w:rPr>
              <w:tab/>
            </w:r>
            <w:r w:rsidR="006B719F">
              <w:rPr>
                <w:noProof/>
                <w:webHidden/>
              </w:rPr>
              <w:fldChar w:fldCharType="begin"/>
            </w:r>
            <w:r w:rsidR="006B719F">
              <w:rPr>
                <w:noProof/>
                <w:webHidden/>
              </w:rPr>
              <w:instrText xml:space="preserve"> PAGEREF _Toc32407812 \h </w:instrText>
            </w:r>
            <w:r w:rsidR="006B719F">
              <w:rPr>
                <w:noProof/>
                <w:webHidden/>
              </w:rPr>
            </w:r>
            <w:r w:rsidR="006B719F">
              <w:rPr>
                <w:noProof/>
                <w:webHidden/>
              </w:rPr>
              <w:fldChar w:fldCharType="separate"/>
            </w:r>
            <w:r w:rsidR="000D65D2">
              <w:rPr>
                <w:noProof/>
                <w:webHidden/>
              </w:rPr>
              <w:t>24</w:t>
            </w:r>
            <w:r w:rsidR="006B719F">
              <w:rPr>
                <w:noProof/>
                <w:webHidden/>
              </w:rPr>
              <w:fldChar w:fldCharType="end"/>
            </w:r>
          </w:hyperlink>
        </w:p>
        <w:p w14:paraId="53BE8C10" w14:textId="6C5C793A" w:rsidR="006B719F" w:rsidRDefault="005E3E52">
          <w:pPr>
            <w:pStyle w:val="Obsah3"/>
            <w:tabs>
              <w:tab w:val="right" w:pos="9016"/>
            </w:tabs>
            <w:rPr>
              <w:rFonts w:asciiTheme="minorHAnsi" w:eastAsiaTheme="minorEastAsia" w:hAnsiTheme="minorHAnsi" w:cstheme="minorBidi"/>
              <w:noProof/>
              <w:lang w:val="cs-CZ"/>
            </w:rPr>
          </w:pPr>
          <w:hyperlink w:anchor="_Toc32407813" w:history="1">
            <w:r w:rsidR="006B719F" w:rsidRPr="00272351">
              <w:rPr>
                <w:rStyle w:val="Hypertextovodkaz"/>
                <w:noProof/>
              </w:rPr>
              <w:t>5.2.1 Změny, u kterých je nutný předchozí souhlas MZ</w:t>
            </w:r>
            <w:r w:rsidR="006B719F">
              <w:rPr>
                <w:noProof/>
                <w:webHidden/>
              </w:rPr>
              <w:tab/>
            </w:r>
            <w:r w:rsidR="006B719F">
              <w:rPr>
                <w:noProof/>
                <w:webHidden/>
              </w:rPr>
              <w:fldChar w:fldCharType="begin"/>
            </w:r>
            <w:r w:rsidR="006B719F">
              <w:rPr>
                <w:noProof/>
                <w:webHidden/>
              </w:rPr>
              <w:instrText xml:space="preserve"> PAGEREF _Toc32407813 \h </w:instrText>
            </w:r>
            <w:r w:rsidR="006B719F">
              <w:rPr>
                <w:noProof/>
                <w:webHidden/>
              </w:rPr>
            </w:r>
            <w:r w:rsidR="006B719F">
              <w:rPr>
                <w:noProof/>
                <w:webHidden/>
              </w:rPr>
              <w:fldChar w:fldCharType="separate"/>
            </w:r>
            <w:r w:rsidR="000D65D2">
              <w:rPr>
                <w:noProof/>
                <w:webHidden/>
              </w:rPr>
              <w:t>25</w:t>
            </w:r>
            <w:r w:rsidR="006B719F">
              <w:rPr>
                <w:noProof/>
                <w:webHidden/>
              </w:rPr>
              <w:fldChar w:fldCharType="end"/>
            </w:r>
          </w:hyperlink>
        </w:p>
        <w:p w14:paraId="501017C1" w14:textId="33BA271B" w:rsidR="006B719F" w:rsidRDefault="005E3E52">
          <w:pPr>
            <w:pStyle w:val="Obsah3"/>
            <w:tabs>
              <w:tab w:val="right" w:pos="9016"/>
            </w:tabs>
            <w:rPr>
              <w:rFonts w:asciiTheme="minorHAnsi" w:eastAsiaTheme="minorEastAsia" w:hAnsiTheme="minorHAnsi" w:cstheme="minorBidi"/>
              <w:noProof/>
              <w:lang w:val="cs-CZ"/>
            </w:rPr>
          </w:pPr>
          <w:hyperlink w:anchor="_Toc32407814" w:history="1">
            <w:r w:rsidR="006B719F" w:rsidRPr="00272351">
              <w:rPr>
                <w:rStyle w:val="Hypertextovodkaz"/>
                <w:noProof/>
              </w:rPr>
              <w:t>5.2.2 Změny, u kterých není nutný předchozí souhlas MZ</w:t>
            </w:r>
            <w:r w:rsidR="006B719F">
              <w:rPr>
                <w:noProof/>
                <w:webHidden/>
              </w:rPr>
              <w:tab/>
            </w:r>
            <w:r w:rsidR="006B719F">
              <w:rPr>
                <w:noProof/>
                <w:webHidden/>
              </w:rPr>
              <w:fldChar w:fldCharType="begin"/>
            </w:r>
            <w:r w:rsidR="006B719F">
              <w:rPr>
                <w:noProof/>
                <w:webHidden/>
              </w:rPr>
              <w:instrText xml:space="preserve"> PAGEREF _Toc32407814 \h </w:instrText>
            </w:r>
            <w:r w:rsidR="006B719F">
              <w:rPr>
                <w:noProof/>
                <w:webHidden/>
              </w:rPr>
            </w:r>
            <w:r w:rsidR="006B719F">
              <w:rPr>
                <w:noProof/>
                <w:webHidden/>
              </w:rPr>
              <w:fldChar w:fldCharType="separate"/>
            </w:r>
            <w:r w:rsidR="000D65D2">
              <w:rPr>
                <w:noProof/>
                <w:webHidden/>
              </w:rPr>
              <w:t>25</w:t>
            </w:r>
            <w:r w:rsidR="006B719F">
              <w:rPr>
                <w:noProof/>
                <w:webHidden/>
              </w:rPr>
              <w:fldChar w:fldCharType="end"/>
            </w:r>
          </w:hyperlink>
        </w:p>
        <w:p w14:paraId="146C2E11" w14:textId="26D995EE" w:rsidR="006B719F" w:rsidRDefault="005E3E52">
          <w:pPr>
            <w:pStyle w:val="Obsah1"/>
            <w:tabs>
              <w:tab w:val="right" w:pos="9016"/>
            </w:tabs>
            <w:rPr>
              <w:rFonts w:asciiTheme="minorHAnsi" w:eastAsiaTheme="minorEastAsia" w:hAnsiTheme="minorHAnsi" w:cstheme="minorBidi"/>
              <w:noProof/>
              <w:lang w:val="cs-CZ"/>
            </w:rPr>
          </w:pPr>
          <w:hyperlink w:anchor="_Toc32407815" w:history="1">
            <w:r w:rsidR="006B719F" w:rsidRPr="00272351">
              <w:rPr>
                <w:rStyle w:val="Hypertextovodkaz"/>
                <w:noProof/>
              </w:rPr>
              <w:t>6. KONTROLA</w:t>
            </w:r>
            <w:r w:rsidR="006B719F">
              <w:rPr>
                <w:noProof/>
                <w:webHidden/>
              </w:rPr>
              <w:tab/>
            </w:r>
            <w:r w:rsidR="006B719F">
              <w:rPr>
                <w:noProof/>
                <w:webHidden/>
              </w:rPr>
              <w:fldChar w:fldCharType="begin"/>
            </w:r>
            <w:r w:rsidR="006B719F">
              <w:rPr>
                <w:noProof/>
                <w:webHidden/>
              </w:rPr>
              <w:instrText xml:space="preserve"> PAGEREF _Toc32407815 \h </w:instrText>
            </w:r>
            <w:r w:rsidR="006B719F">
              <w:rPr>
                <w:noProof/>
                <w:webHidden/>
              </w:rPr>
            </w:r>
            <w:r w:rsidR="006B719F">
              <w:rPr>
                <w:noProof/>
                <w:webHidden/>
              </w:rPr>
              <w:fldChar w:fldCharType="separate"/>
            </w:r>
            <w:r w:rsidR="000D65D2">
              <w:rPr>
                <w:noProof/>
                <w:webHidden/>
              </w:rPr>
              <w:t>27</w:t>
            </w:r>
            <w:r w:rsidR="006B719F">
              <w:rPr>
                <w:noProof/>
                <w:webHidden/>
              </w:rPr>
              <w:fldChar w:fldCharType="end"/>
            </w:r>
          </w:hyperlink>
        </w:p>
        <w:p w14:paraId="59408F10" w14:textId="1A78A424" w:rsidR="004255D9" w:rsidRPr="005D5A41" w:rsidRDefault="006733FC" w:rsidP="00DD51CE">
          <w:pPr>
            <w:tabs>
              <w:tab w:val="right" w:pos="9030"/>
            </w:tabs>
            <w:spacing w:before="200" w:after="120" w:line="240" w:lineRule="auto"/>
            <w:rPr>
              <w:b/>
              <w:color w:val="000000"/>
              <w:sz w:val="20"/>
              <w:szCs w:val="20"/>
            </w:rPr>
          </w:pPr>
          <w:r w:rsidRPr="005D5A41">
            <w:rPr>
              <w:sz w:val="20"/>
              <w:szCs w:val="20"/>
              <w:highlight w:val="green"/>
            </w:rPr>
            <w:fldChar w:fldCharType="end"/>
          </w:r>
        </w:p>
      </w:sdtContent>
    </w:sdt>
    <w:p w14:paraId="1CBD4D2E" w14:textId="68F41163" w:rsidR="004255D9" w:rsidRPr="00DD51CE" w:rsidRDefault="00BD2D48" w:rsidP="00BD2D48">
      <w:pPr>
        <w:pStyle w:val="Nadpis1"/>
      </w:pPr>
      <w:bookmarkStart w:id="2" w:name="_16i2f4w5v6i3" w:colFirst="0" w:colLast="0"/>
      <w:bookmarkStart w:id="3" w:name="_Toc32407786"/>
      <w:bookmarkEnd w:id="2"/>
      <w:r>
        <w:t xml:space="preserve">1. </w:t>
      </w:r>
      <w:r w:rsidR="006733FC" w:rsidRPr="00DD51CE">
        <w:t>OBECNÉ INFORMACE</w:t>
      </w:r>
      <w:bookmarkEnd w:id="3"/>
    </w:p>
    <w:p w14:paraId="1FBE0A4B" w14:textId="1FFFF241" w:rsidR="004255D9" w:rsidRPr="00DD51CE" w:rsidRDefault="006733FC" w:rsidP="00B930FE">
      <w:pPr>
        <w:pStyle w:val="Nadpis2"/>
      </w:pPr>
      <w:bookmarkStart w:id="4" w:name="_Toc32407787"/>
      <w:r w:rsidRPr="00DD51CE">
        <w:t>1.1</w:t>
      </w:r>
      <w:r w:rsidR="00BD2D48">
        <w:t xml:space="preserve"> </w:t>
      </w:r>
      <w:r w:rsidR="00BB174D" w:rsidRPr="00B930FE">
        <w:t>ÚVOD</w:t>
      </w:r>
      <w:bookmarkEnd w:id="4"/>
    </w:p>
    <w:p w14:paraId="30F5AAAA" w14:textId="158EF29B" w:rsidR="004255D9" w:rsidRPr="00DD51CE" w:rsidRDefault="006733FC" w:rsidP="00DE45DF">
      <w:pPr>
        <w:widowControl/>
        <w:numPr>
          <w:ilvl w:val="0"/>
          <w:numId w:val="19"/>
        </w:numPr>
        <w:spacing w:after="120" w:line="240" w:lineRule="auto"/>
        <w:ind w:left="414" w:hanging="357"/>
        <w:jc w:val="both"/>
        <w:rPr>
          <w:sz w:val="24"/>
          <w:szCs w:val="24"/>
        </w:rPr>
      </w:pPr>
      <w:r w:rsidRPr="00DD51CE">
        <w:rPr>
          <w:sz w:val="24"/>
          <w:szCs w:val="24"/>
        </w:rPr>
        <w:t>Metodický pokyn ke klíčovým aktivitám specializačního vzdělávání (dále jen „Metodický pokyn“) je přílohou Metodiky Programu specializačního vzdělávání v</w:t>
      </w:r>
      <w:r w:rsidR="00845DB5">
        <w:rPr>
          <w:sz w:val="24"/>
          <w:szCs w:val="24"/>
        </w:rPr>
        <w:t> </w:t>
      </w:r>
      <w:r w:rsidRPr="00DD51CE">
        <w:rPr>
          <w:sz w:val="24"/>
          <w:szCs w:val="24"/>
        </w:rPr>
        <w:t>oboru dětská neurologie. Metodický pokyn upravuje pravidla a podmínky způsobilých výdajů, jejich dokladování, ohlašování změn, publicity</w:t>
      </w:r>
      <w:r w:rsidR="00E6591D" w:rsidRPr="00DD51CE">
        <w:rPr>
          <w:sz w:val="24"/>
          <w:szCs w:val="24"/>
        </w:rPr>
        <w:t xml:space="preserve"> </w:t>
      </w:r>
      <w:r w:rsidRPr="00DD51CE">
        <w:rPr>
          <w:sz w:val="24"/>
          <w:szCs w:val="24"/>
        </w:rPr>
        <w:t xml:space="preserve">a další povinnosti pro realizaci specializačního vzdělávání. </w:t>
      </w:r>
    </w:p>
    <w:p w14:paraId="5BA1027D" w14:textId="3A2E10C1" w:rsidR="004255D9" w:rsidRPr="00DD51CE" w:rsidRDefault="006733FC" w:rsidP="00DE45DF">
      <w:pPr>
        <w:widowControl/>
        <w:numPr>
          <w:ilvl w:val="0"/>
          <w:numId w:val="19"/>
        </w:numPr>
        <w:spacing w:after="120" w:line="240" w:lineRule="auto"/>
        <w:ind w:left="414" w:hanging="357"/>
        <w:jc w:val="both"/>
        <w:rPr>
          <w:sz w:val="24"/>
          <w:szCs w:val="24"/>
        </w:rPr>
      </w:pPr>
      <w:r w:rsidRPr="00DD51CE">
        <w:rPr>
          <w:sz w:val="24"/>
          <w:szCs w:val="24"/>
        </w:rPr>
        <w:t>Zkratky pojmů a názvů</w:t>
      </w:r>
      <w:r w:rsidR="00E6591D" w:rsidRPr="00DD51CE">
        <w:rPr>
          <w:sz w:val="24"/>
          <w:szCs w:val="24"/>
        </w:rPr>
        <w:t>:</w:t>
      </w:r>
    </w:p>
    <w:p w14:paraId="4AE9613B" w14:textId="67BBD86F" w:rsidR="004255D9" w:rsidRPr="00825577" w:rsidRDefault="006733FC" w:rsidP="00DE45DF">
      <w:pPr>
        <w:widowControl/>
        <w:numPr>
          <w:ilvl w:val="0"/>
          <w:numId w:val="14"/>
        </w:numPr>
        <w:spacing w:after="120" w:line="240" w:lineRule="auto"/>
        <w:ind w:left="851"/>
        <w:jc w:val="both"/>
        <w:rPr>
          <w:sz w:val="24"/>
          <w:szCs w:val="24"/>
        </w:rPr>
      </w:pPr>
      <w:r w:rsidRPr="00825577">
        <w:rPr>
          <w:sz w:val="24"/>
          <w:szCs w:val="24"/>
        </w:rPr>
        <w:t>Ministerstvo zdravotnictví České republiky (dále jen „MZ”)</w:t>
      </w:r>
      <w:r w:rsidR="00E6591D" w:rsidRPr="00825577">
        <w:rPr>
          <w:sz w:val="24"/>
          <w:szCs w:val="24"/>
        </w:rPr>
        <w:t>;</w:t>
      </w:r>
      <w:r w:rsidRPr="00825577">
        <w:rPr>
          <w:sz w:val="24"/>
          <w:szCs w:val="24"/>
        </w:rPr>
        <w:t xml:space="preserve"> </w:t>
      </w:r>
    </w:p>
    <w:p w14:paraId="7C6DEF27" w14:textId="19C9F92D" w:rsidR="00E6591D" w:rsidRPr="00DD51CE" w:rsidRDefault="00E6591D" w:rsidP="00DE45DF">
      <w:pPr>
        <w:widowControl/>
        <w:numPr>
          <w:ilvl w:val="0"/>
          <w:numId w:val="14"/>
        </w:numPr>
        <w:spacing w:after="120" w:line="240" w:lineRule="auto"/>
        <w:ind w:left="851"/>
        <w:jc w:val="both"/>
        <w:rPr>
          <w:sz w:val="24"/>
          <w:szCs w:val="24"/>
        </w:rPr>
      </w:pPr>
      <w:r w:rsidRPr="00DD51CE">
        <w:rPr>
          <w:sz w:val="24"/>
          <w:szCs w:val="24"/>
        </w:rPr>
        <w:t>Projekt MZ Specializační vzdělávání v oboru dětská neurologie (dále jen „Projekt“);</w:t>
      </w:r>
    </w:p>
    <w:p w14:paraId="7643FCE1" w14:textId="0CACDA32" w:rsidR="004255D9" w:rsidRPr="00DD51CE" w:rsidRDefault="006733FC" w:rsidP="00DE45DF">
      <w:pPr>
        <w:widowControl/>
        <w:numPr>
          <w:ilvl w:val="0"/>
          <w:numId w:val="14"/>
        </w:numPr>
        <w:spacing w:after="120" w:line="240" w:lineRule="auto"/>
        <w:ind w:left="851"/>
        <w:jc w:val="both"/>
        <w:rPr>
          <w:sz w:val="24"/>
          <w:szCs w:val="24"/>
        </w:rPr>
      </w:pPr>
      <w:r w:rsidRPr="00DD51CE">
        <w:rPr>
          <w:sz w:val="24"/>
          <w:szCs w:val="24"/>
        </w:rPr>
        <w:t>Metodika Programu specializačního vzdělávání v oboru dětská neurologie (dále jen „Metodika“)</w:t>
      </w:r>
      <w:r w:rsidR="00E6591D" w:rsidRPr="00DD51CE">
        <w:rPr>
          <w:sz w:val="24"/>
          <w:szCs w:val="24"/>
        </w:rPr>
        <w:t>;</w:t>
      </w:r>
    </w:p>
    <w:p w14:paraId="07946BE5" w14:textId="47EA39B6" w:rsidR="002264C3" w:rsidRPr="00DD51CE" w:rsidRDefault="006733FC" w:rsidP="00CA5759">
      <w:pPr>
        <w:widowControl/>
        <w:numPr>
          <w:ilvl w:val="0"/>
          <w:numId w:val="14"/>
        </w:numPr>
        <w:spacing w:after="120" w:line="240" w:lineRule="auto"/>
        <w:ind w:left="851"/>
        <w:jc w:val="both"/>
        <w:rPr>
          <w:sz w:val="24"/>
          <w:szCs w:val="24"/>
        </w:rPr>
      </w:pPr>
      <w:r w:rsidRPr="00DD51CE">
        <w:rPr>
          <w:sz w:val="24"/>
          <w:szCs w:val="24"/>
        </w:rPr>
        <w:t>Program specializačního vzdělávání v oboru dětská neurologie (dále jen „Program“)</w:t>
      </w:r>
      <w:r w:rsidR="00E6591D" w:rsidRPr="00DD51CE">
        <w:rPr>
          <w:sz w:val="24"/>
          <w:szCs w:val="24"/>
        </w:rPr>
        <w:t>;</w:t>
      </w:r>
    </w:p>
    <w:p w14:paraId="667D8A60" w14:textId="66DADA0B" w:rsidR="004255D9" w:rsidRPr="00DD51CE" w:rsidRDefault="006733FC" w:rsidP="00DE45DF">
      <w:pPr>
        <w:numPr>
          <w:ilvl w:val="0"/>
          <w:numId w:val="14"/>
        </w:numPr>
        <w:spacing w:after="120" w:line="240" w:lineRule="auto"/>
        <w:ind w:left="851"/>
        <w:jc w:val="both"/>
        <w:rPr>
          <w:sz w:val="24"/>
          <w:szCs w:val="24"/>
        </w:rPr>
      </w:pPr>
      <w:r w:rsidRPr="00DD51CE">
        <w:rPr>
          <w:sz w:val="24"/>
          <w:szCs w:val="24"/>
        </w:rPr>
        <w:t xml:space="preserve">Klíčové aktivity (dále jen „KA”) = </w:t>
      </w:r>
      <w:r w:rsidR="00C22360">
        <w:rPr>
          <w:sz w:val="24"/>
          <w:szCs w:val="24"/>
        </w:rPr>
        <w:t>KA</w:t>
      </w:r>
      <w:r w:rsidRPr="00DD51CE">
        <w:rPr>
          <w:sz w:val="24"/>
          <w:szCs w:val="24"/>
        </w:rPr>
        <w:t xml:space="preserve">1 až </w:t>
      </w:r>
      <w:r w:rsidR="00C22360">
        <w:rPr>
          <w:sz w:val="24"/>
          <w:szCs w:val="24"/>
        </w:rPr>
        <w:t>KA</w:t>
      </w:r>
      <w:r w:rsidRPr="00DD51CE">
        <w:rPr>
          <w:sz w:val="24"/>
          <w:szCs w:val="24"/>
        </w:rPr>
        <w:t>14</w:t>
      </w:r>
      <w:r w:rsidR="00E6591D" w:rsidRPr="00DD51CE">
        <w:rPr>
          <w:sz w:val="24"/>
          <w:szCs w:val="24"/>
        </w:rPr>
        <w:t>;</w:t>
      </w:r>
    </w:p>
    <w:p w14:paraId="793276B0" w14:textId="14902832" w:rsidR="004255D9" w:rsidRPr="00DD51CE" w:rsidRDefault="006733FC" w:rsidP="00DE45DF">
      <w:pPr>
        <w:numPr>
          <w:ilvl w:val="0"/>
          <w:numId w:val="14"/>
        </w:numPr>
        <w:spacing w:after="120" w:line="240" w:lineRule="auto"/>
        <w:ind w:left="851"/>
        <w:jc w:val="both"/>
        <w:rPr>
          <w:sz w:val="24"/>
          <w:szCs w:val="24"/>
        </w:rPr>
      </w:pPr>
      <w:r w:rsidRPr="00DD51CE">
        <w:rPr>
          <w:sz w:val="24"/>
          <w:szCs w:val="24"/>
        </w:rPr>
        <w:t>Povinn</w:t>
      </w:r>
      <w:r w:rsidR="00A46F04" w:rsidRPr="00DD51CE">
        <w:rPr>
          <w:sz w:val="24"/>
          <w:szCs w:val="24"/>
        </w:rPr>
        <w:t>é</w:t>
      </w:r>
      <w:r w:rsidRPr="00DD51CE">
        <w:rPr>
          <w:sz w:val="24"/>
          <w:szCs w:val="24"/>
        </w:rPr>
        <w:t xml:space="preserve"> a doporučené teoretické kurzy a povinná praxe (dále souhrnně jen „vzdělávací aktivity“) = KA1 až </w:t>
      </w:r>
      <w:r w:rsidR="00C22360">
        <w:rPr>
          <w:sz w:val="24"/>
          <w:szCs w:val="24"/>
        </w:rPr>
        <w:t>KA</w:t>
      </w:r>
      <w:r w:rsidRPr="00DD51CE">
        <w:rPr>
          <w:sz w:val="24"/>
          <w:szCs w:val="24"/>
        </w:rPr>
        <w:t>13</w:t>
      </w:r>
      <w:r w:rsidR="00E6591D" w:rsidRPr="00DD51CE">
        <w:rPr>
          <w:sz w:val="24"/>
          <w:szCs w:val="24"/>
        </w:rPr>
        <w:t>;</w:t>
      </w:r>
    </w:p>
    <w:p w14:paraId="20003AC5" w14:textId="144907C1" w:rsidR="004255D9" w:rsidRPr="00DD51CE" w:rsidRDefault="006733FC" w:rsidP="00DE45DF">
      <w:pPr>
        <w:numPr>
          <w:ilvl w:val="0"/>
          <w:numId w:val="14"/>
        </w:numPr>
        <w:spacing w:after="120" w:line="240" w:lineRule="auto"/>
        <w:ind w:left="851"/>
        <w:jc w:val="both"/>
        <w:rPr>
          <w:sz w:val="24"/>
          <w:szCs w:val="24"/>
        </w:rPr>
      </w:pPr>
      <w:r w:rsidRPr="00DD51CE">
        <w:rPr>
          <w:sz w:val="24"/>
          <w:szCs w:val="24"/>
        </w:rPr>
        <w:t xml:space="preserve">Individuální vzdělávací plán (dále jen </w:t>
      </w:r>
      <w:r w:rsidR="00C22360">
        <w:rPr>
          <w:sz w:val="24"/>
          <w:szCs w:val="24"/>
        </w:rPr>
        <w:t>„</w:t>
      </w:r>
      <w:r w:rsidRPr="00DD51CE">
        <w:rPr>
          <w:sz w:val="24"/>
          <w:szCs w:val="24"/>
        </w:rPr>
        <w:t>IVP”)</w:t>
      </w:r>
      <w:r w:rsidR="00E6591D" w:rsidRPr="00DD51CE">
        <w:rPr>
          <w:sz w:val="24"/>
          <w:szCs w:val="24"/>
        </w:rPr>
        <w:t>;</w:t>
      </w:r>
    </w:p>
    <w:p w14:paraId="43DB62B8" w14:textId="7CD59EDD" w:rsidR="004255D9" w:rsidRPr="00DD51CE" w:rsidRDefault="006733FC" w:rsidP="00DE45DF">
      <w:pPr>
        <w:numPr>
          <w:ilvl w:val="0"/>
          <w:numId w:val="14"/>
        </w:numPr>
        <w:spacing w:after="120" w:line="240" w:lineRule="auto"/>
        <w:ind w:left="851"/>
        <w:jc w:val="both"/>
        <w:rPr>
          <w:sz w:val="24"/>
          <w:szCs w:val="24"/>
        </w:rPr>
      </w:pPr>
      <w:r w:rsidRPr="00DD51CE">
        <w:rPr>
          <w:sz w:val="24"/>
          <w:szCs w:val="24"/>
        </w:rPr>
        <w:t>F</w:t>
      </w:r>
      <w:r w:rsidR="00D93001">
        <w:rPr>
          <w:sz w:val="24"/>
          <w:szCs w:val="24"/>
        </w:rPr>
        <w:t>akultní nemocnice v Motole</w:t>
      </w:r>
      <w:r w:rsidRPr="00DD51CE">
        <w:rPr>
          <w:sz w:val="24"/>
          <w:szCs w:val="24"/>
        </w:rPr>
        <w:t>, F</w:t>
      </w:r>
      <w:r w:rsidR="00D93001">
        <w:rPr>
          <w:sz w:val="24"/>
          <w:szCs w:val="24"/>
        </w:rPr>
        <w:t>akultní nemocnice</w:t>
      </w:r>
      <w:r w:rsidRPr="00DD51CE">
        <w:rPr>
          <w:sz w:val="24"/>
          <w:szCs w:val="24"/>
        </w:rPr>
        <w:t xml:space="preserve"> Brno, Thomayerova nemocnice a F</w:t>
      </w:r>
      <w:r w:rsidR="00D93001">
        <w:rPr>
          <w:sz w:val="24"/>
          <w:szCs w:val="24"/>
        </w:rPr>
        <w:t>akultní nemocnice</w:t>
      </w:r>
      <w:r w:rsidRPr="00DD51CE">
        <w:rPr>
          <w:sz w:val="24"/>
          <w:szCs w:val="24"/>
        </w:rPr>
        <w:t xml:space="preserve"> Ostrava (dále souhrnně jen „Vzdělávací pracoviště“)</w:t>
      </w:r>
      <w:r w:rsidR="00E6591D" w:rsidRPr="00DD51CE">
        <w:rPr>
          <w:sz w:val="24"/>
          <w:szCs w:val="24"/>
        </w:rPr>
        <w:t>;</w:t>
      </w:r>
    </w:p>
    <w:p w14:paraId="52670DCD" w14:textId="7B2FAB5E" w:rsidR="004255D9" w:rsidRPr="00DD51CE" w:rsidRDefault="006733FC" w:rsidP="00DE45DF">
      <w:pPr>
        <w:numPr>
          <w:ilvl w:val="0"/>
          <w:numId w:val="14"/>
        </w:numPr>
        <w:spacing w:after="120" w:line="240" w:lineRule="auto"/>
        <w:ind w:left="851"/>
        <w:jc w:val="both"/>
        <w:rPr>
          <w:sz w:val="24"/>
          <w:szCs w:val="24"/>
        </w:rPr>
      </w:pPr>
      <w:r w:rsidRPr="00DD51CE">
        <w:rPr>
          <w:sz w:val="24"/>
          <w:szCs w:val="24"/>
        </w:rPr>
        <w:t xml:space="preserve">Institut postgraduálního vzdělávání ve zdravotnictví (dále jen </w:t>
      </w:r>
      <w:r w:rsidR="00C22360">
        <w:rPr>
          <w:sz w:val="24"/>
          <w:szCs w:val="24"/>
        </w:rPr>
        <w:t>„</w:t>
      </w:r>
      <w:r w:rsidRPr="00DD51CE">
        <w:rPr>
          <w:sz w:val="24"/>
          <w:szCs w:val="24"/>
        </w:rPr>
        <w:t>IPVZ”)</w:t>
      </w:r>
      <w:r w:rsidR="00E6591D" w:rsidRPr="00DD51CE">
        <w:rPr>
          <w:sz w:val="24"/>
          <w:szCs w:val="24"/>
        </w:rPr>
        <w:t>;</w:t>
      </w:r>
    </w:p>
    <w:p w14:paraId="56894CF6" w14:textId="1036C5F6" w:rsidR="004255D9" w:rsidRPr="00DD51CE" w:rsidRDefault="006733FC" w:rsidP="00DE45DF">
      <w:pPr>
        <w:numPr>
          <w:ilvl w:val="0"/>
          <w:numId w:val="14"/>
        </w:numPr>
        <w:pBdr>
          <w:top w:val="nil"/>
          <w:left w:val="nil"/>
          <w:bottom w:val="nil"/>
          <w:right w:val="nil"/>
          <w:between w:val="nil"/>
        </w:pBdr>
        <w:spacing w:after="120" w:line="240" w:lineRule="auto"/>
        <w:ind w:left="851"/>
        <w:jc w:val="both"/>
        <w:rPr>
          <w:sz w:val="24"/>
          <w:szCs w:val="24"/>
        </w:rPr>
      </w:pPr>
      <w:r w:rsidRPr="00DD51CE">
        <w:rPr>
          <w:sz w:val="24"/>
          <w:szCs w:val="24"/>
        </w:rPr>
        <w:t>Specifická část pravidel pro žadatele a příjemce v rámci O</w:t>
      </w:r>
      <w:r w:rsidR="00581D09">
        <w:rPr>
          <w:sz w:val="24"/>
          <w:szCs w:val="24"/>
        </w:rPr>
        <w:t xml:space="preserve">peračního programu Zaměstnanost </w:t>
      </w:r>
      <w:r w:rsidRPr="00DD51CE">
        <w:rPr>
          <w:sz w:val="24"/>
          <w:szCs w:val="24"/>
        </w:rPr>
        <w:t>pro projekty se skutečně vzniklými výdaji a případně také s</w:t>
      </w:r>
      <w:r w:rsidR="0058097D">
        <w:rPr>
          <w:sz w:val="24"/>
          <w:szCs w:val="24"/>
        </w:rPr>
        <w:t> </w:t>
      </w:r>
      <w:r w:rsidRPr="00DD51CE">
        <w:rPr>
          <w:sz w:val="24"/>
          <w:szCs w:val="24"/>
        </w:rPr>
        <w:t>nepřímými náklady (dále jen „Specifická pravidla”)</w:t>
      </w:r>
      <w:r w:rsidR="00E6591D" w:rsidRPr="00DD51CE">
        <w:rPr>
          <w:sz w:val="24"/>
          <w:szCs w:val="24"/>
        </w:rPr>
        <w:t>.</w:t>
      </w:r>
    </w:p>
    <w:p w14:paraId="6C5A4AE3" w14:textId="161D1E80" w:rsidR="004255D9" w:rsidRPr="00DD51CE" w:rsidRDefault="006733FC" w:rsidP="00CA5759">
      <w:pPr>
        <w:spacing w:after="120" w:line="240" w:lineRule="auto"/>
        <w:ind w:left="426"/>
        <w:jc w:val="both"/>
        <w:rPr>
          <w:sz w:val="24"/>
          <w:szCs w:val="24"/>
        </w:rPr>
      </w:pPr>
      <w:r w:rsidRPr="00DD51CE">
        <w:rPr>
          <w:sz w:val="24"/>
          <w:szCs w:val="24"/>
        </w:rPr>
        <w:t>Další obecné informace a vysvětlení pojmů jsou uvedeny v</w:t>
      </w:r>
      <w:r w:rsidR="00CA5759">
        <w:rPr>
          <w:sz w:val="24"/>
          <w:szCs w:val="24"/>
        </w:rPr>
        <w:t> Metodice a</w:t>
      </w:r>
      <w:r w:rsidR="00581D09">
        <w:rPr>
          <w:sz w:val="24"/>
          <w:szCs w:val="24"/>
        </w:rPr>
        <w:t> </w:t>
      </w:r>
      <w:r w:rsidR="00003339">
        <w:rPr>
          <w:sz w:val="24"/>
          <w:szCs w:val="24"/>
        </w:rPr>
        <w:t xml:space="preserve">tomto </w:t>
      </w:r>
      <w:r w:rsidRPr="00DD51CE">
        <w:rPr>
          <w:sz w:val="24"/>
          <w:szCs w:val="24"/>
        </w:rPr>
        <w:t>Metodic</w:t>
      </w:r>
      <w:r w:rsidR="00581D09">
        <w:rPr>
          <w:sz w:val="24"/>
          <w:szCs w:val="24"/>
        </w:rPr>
        <w:t>kém pokynu</w:t>
      </w:r>
      <w:r w:rsidRPr="00DD51CE">
        <w:rPr>
          <w:sz w:val="24"/>
          <w:szCs w:val="24"/>
        </w:rPr>
        <w:t>.</w:t>
      </w:r>
    </w:p>
    <w:p w14:paraId="653118B2" w14:textId="54459DE9"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lastRenderedPageBreak/>
        <w:t>Pro komunikaci ve věci realizace podmínek uvedených v Rozhodnutí a tomto Metodickém pokynu Příjemce stanoví kontaktní osobu a údaje (tj. jméno a</w:t>
      </w:r>
      <w:r w:rsidR="00845DB5">
        <w:rPr>
          <w:sz w:val="24"/>
          <w:szCs w:val="24"/>
        </w:rPr>
        <w:t> </w:t>
      </w:r>
      <w:r w:rsidRPr="00DD51CE">
        <w:rPr>
          <w:sz w:val="24"/>
          <w:szCs w:val="24"/>
        </w:rPr>
        <w:t>příjmení, e-mail, telefonní číslo kontaktní osoby) sdělí MZ.</w:t>
      </w:r>
    </w:p>
    <w:p w14:paraId="278D5D00" w14:textId="2E914E86"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Příjemce je povinen seznámit se se všemi zprávami, které budou ze strany MZ doručeny Příjemci datovou schránkou</w:t>
      </w:r>
      <w:r w:rsidR="00E6591D" w:rsidRPr="00DD51CE">
        <w:rPr>
          <w:sz w:val="24"/>
          <w:szCs w:val="24"/>
        </w:rPr>
        <w:t xml:space="preserve"> či na e-mail kontaktní osoby.</w:t>
      </w:r>
    </w:p>
    <w:p w14:paraId="753597E6" w14:textId="0379FE22"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V případě dotazů, nejasností, případně jiných žádostí apod. může Příjemce kontaktovat projektového manažera</w:t>
      </w:r>
      <w:r w:rsidR="00E6591D" w:rsidRPr="00DD51CE">
        <w:rPr>
          <w:sz w:val="24"/>
          <w:szCs w:val="24"/>
        </w:rPr>
        <w:t xml:space="preserve"> Programu</w:t>
      </w:r>
      <w:r w:rsidRPr="00DD51CE">
        <w:rPr>
          <w:sz w:val="24"/>
          <w:szCs w:val="24"/>
        </w:rPr>
        <w:t xml:space="preserve"> e-mailem na adrese </w:t>
      </w:r>
      <w:hyperlink r:id="rId8" w:history="1">
        <w:r w:rsidR="00B12B16" w:rsidRPr="00D86F6F">
          <w:rPr>
            <w:rStyle w:val="Hypertextovodkaz"/>
            <w:sz w:val="24"/>
            <w:szCs w:val="24"/>
          </w:rPr>
          <w:t>neurologove2@mzcr.cz</w:t>
        </w:r>
      </w:hyperlink>
      <w:r w:rsidRPr="00DD51CE">
        <w:rPr>
          <w:sz w:val="24"/>
          <w:szCs w:val="24"/>
        </w:rPr>
        <w:t>.</w:t>
      </w:r>
    </w:p>
    <w:p w14:paraId="241136A9" w14:textId="51888B18"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Příjemce má povinnost dohlížet na docházku účastníků (svých zaměstnanců) na specializační vzdělávání v souladu s</w:t>
      </w:r>
      <w:r w:rsidR="00E6591D" w:rsidRPr="00DD51CE">
        <w:rPr>
          <w:sz w:val="24"/>
          <w:szCs w:val="24"/>
        </w:rPr>
        <w:t> IVP.</w:t>
      </w:r>
    </w:p>
    <w:p w14:paraId="436ABEA5" w14:textId="77777777"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Pravidla v tomto Metodickém pokynu uvedená jsou platná pro výdaje uskutečněné od 1. ledna 2020.</w:t>
      </w:r>
    </w:p>
    <w:p w14:paraId="0C47ED5B" w14:textId="10AF83A1" w:rsidR="004255D9" w:rsidRPr="00DD51CE" w:rsidRDefault="006733FC" w:rsidP="00B930FE">
      <w:pPr>
        <w:pStyle w:val="Nadpis2"/>
      </w:pPr>
      <w:bookmarkStart w:id="5" w:name="_Toc32407788"/>
      <w:r w:rsidRPr="00DD51CE">
        <w:t xml:space="preserve">1.2 ZAPOJENÍ ÚČASTNÍKŮ DO KLÍČOVÝCH </w:t>
      </w:r>
      <w:r w:rsidRPr="00B930FE">
        <w:t>AKTIVIT</w:t>
      </w:r>
      <w:bookmarkEnd w:id="5"/>
    </w:p>
    <w:p w14:paraId="3E6971C8" w14:textId="1085E256" w:rsidR="004255D9" w:rsidRDefault="006733FC" w:rsidP="00DD51CE">
      <w:pPr>
        <w:spacing w:after="120" w:line="240" w:lineRule="auto"/>
        <w:jc w:val="both"/>
        <w:rPr>
          <w:rFonts w:eastAsia="Calibri"/>
          <w:sz w:val="24"/>
          <w:szCs w:val="24"/>
        </w:rPr>
      </w:pPr>
      <w:r w:rsidRPr="00DD51CE">
        <w:rPr>
          <w:rFonts w:eastAsia="Calibri"/>
          <w:sz w:val="24"/>
          <w:szCs w:val="24"/>
        </w:rPr>
        <w:t xml:space="preserve">Účastníci se klíčových aktivit Projektu účastní dle svých objektivních vzdělávacích potřeb dle podmínek vzdělávacího programu oboru dětská neurologie, dle zákona </w:t>
      </w:r>
      <w:r w:rsidRPr="00FC1C3C">
        <w:rPr>
          <w:rFonts w:eastAsia="Calibri"/>
          <w:sz w:val="24"/>
          <w:szCs w:val="24"/>
        </w:rPr>
        <w:t>č. 95/2004 Sb.</w:t>
      </w:r>
      <w:r w:rsidR="00D06082">
        <w:rPr>
          <w:rStyle w:val="Znakapoznpodarou"/>
          <w:rFonts w:eastAsia="Calibri"/>
          <w:sz w:val="24"/>
          <w:szCs w:val="24"/>
        </w:rPr>
        <w:footnoteReference w:id="1"/>
      </w:r>
      <w:r w:rsidRPr="00FC1C3C">
        <w:rPr>
          <w:rFonts w:eastAsia="Calibri"/>
          <w:sz w:val="24"/>
          <w:szCs w:val="24"/>
        </w:rPr>
        <w:t xml:space="preserve"> s tím, že vzdělávání v rámci Projektu absolvují dle toho vzdělávacího</w:t>
      </w:r>
      <w:r w:rsidRPr="00DD51CE">
        <w:rPr>
          <w:rFonts w:eastAsia="Calibri"/>
          <w:sz w:val="24"/>
          <w:szCs w:val="24"/>
        </w:rPr>
        <w:t xml:space="preserve"> programu v oboru, podle kterého se vzdělávali v době, kdy do Projektu vstoupili</w:t>
      </w:r>
      <w:r w:rsidR="008D4B0E">
        <w:rPr>
          <w:rFonts w:eastAsia="Calibri"/>
          <w:sz w:val="24"/>
          <w:szCs w:val="24"/>
        </w:rPr>
        <w:t>.</w:t>
      </w:r>
    </w:p>
    <w:p w14:paraId="7B4E5E6D" w14:textId="08897177" w:rsidR="00CB2DD8" w:rsidRPr="008D4B0E" w:rsidRDefault="008D4B0E" w:rsidP="00DD51CE">
      <w:pPr>
        <w:spacing w:after="120" w:line="240" w:lineRule="auto"/>
        <w:jc w:val="both"/>
        <w:rPr>
          <w:rFonts w:eastAsia="Calibri"/>
          <w:b/>
          <w:bCs/>
          <w:sz w:val="24"/>
          <w:szCs w:val="24"/>
        </w:rPr>
      </w:pPr>
      <w:r w:rsidRPr="008D4B0E">
        <w:rPr>
          <w:rFonts w:eastAsia="Calibri"/>
          <w:b/>
          <w:bCs/>
          <w:sz w:val="24"/>
          <w:szCs w:val="24"/>
        </w:rPr>
        <w:t>Cílové skupiny:</w:t>
      </w:r>
    </w:p>
    <w:p w14:paraId="2A3BD76F" w14:textId="328C5148" w:rsidR="004255D9" w:rsidRPr="00DD51CE" w:rsidRDefault="008D4B0E" w:rsidP="00DE45DF">
      <w:pPr>
        <w:widowControl/>
        <w:numPr>
          <w:ilvl w:val="0"/>
          <w:numId w:val="4"/>
        </w:numPr>
        <w:spacing w:after="120" w:line="240" w:lineRule="auto"/>
        <w:ind w:left="414" w:hanging="357"/>
        <w:jc w:val="both"/>
        <w:rPr>
          <w:rFonts w:eastAsia="Cambria"/>
          <w:sz w:val="24"/>
          <w:szCs w:val="24"/>
        </w:rPr>
      </w:pPr>
      <w:r>
        <w:rPr>
          <w:rFonts w:eastAsia="Calibri"/>
          <w:b/>
          <w:sz w:val="24"/>
          <w:szCs w:val="24"/>
        </w:rPr>
        <w:t>L</w:t>
      </w:r>
      <w:r w:rsidR="006733FC" w:rsidRPr="00DD51CE">
        <w:rPr>
          <w:rFonts w:eastAsia="Calibri"/>
          <w:b/>
          <w:sz w:val="24"/>
          <w:szCs w:val="24"/>
        </w:rPr>
        <w:t>ékaři, zařazení do programu oboru do 30. 6. 2017</w:t>
      </w:r>
      <w:r w:rsidR="006733FC" w:rsidRPr="00DD51CE">
        <w:rPr>
          <w:rFonts w:eastAsia="Calibri"/>
          <w:sz w:val="24"/>
          <w:szCs w:val="24"/>
        </w:rPr>
        <w:t xml:space="preserve"> včetně, podle „Vzdělávacího programu oboru dětská neurologie“, zveřejněného ve Věstníku MZ ČR, roč. 2015, částka 5 (dále jen „DN Věstník 2015“):</w:t>
      </w:r>
    </w:p>
    <w:p w14:paraId="54C4998F" w14:textId="77777777" w:rsidR="004255D9" w:rsidRPr="00DD51CE" w:rsidRDefault="004255D9" w:rsidP="00DD51CE">
      <w:pPr>
        <w:spacing w:after="120" w:line="240" w:lineRule="auto"/>
        <w:jc w:val="both"/>
        <w:rPr>
          <w:rFonts w:eastAsia="Calibri"/>
          <w:sz w:val="24"/>
          <w:szCs w:val="24"/>
        </w:rPr>
      </w:pPr>
    </w:p>
    <w:tbl>
      <w:tblPr>
        <w:tblStyle w:val="a"/>
        <w:tblW w:w="9371"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2093"/>
      </w:tblGrid>
      <w:tr w:rsidR="004255D9" w:rsidRPr="00DD51CE" w14:paraId="0D4505EA" w14:textId="77777777" w:rsidTr="00E27C7B">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543F3CB" w14:textId="77777777" w:rsidR="004255D9" w:rsidRPr="00DD51CE" w:rsidRDefault="006733FC" w:rsidP="00DD51CE">
            <w:pPr>
              <w:spacing w:after="120" w:line="240" w:lineRule="auto"/>
              <w:jc w:val="center"/>
              <w:rPr>
                <w:rFonts w:eastAsia="Calibri"/>
                <w:b/>
                <w:sz w:val="24"/>
                <w:szCs w:val="24"/>
              </w:rPr>
            </w:pPr>
            <w:r w:rsidRPr="00DD51CE">
              <w:rPr>
                <w:rFonts w:eastAsia="Calibri"/>
                <w:b/>
                <w:sz w:val="24"/>
                <w:szCs w:val="24"/>
              </w:rPr>
              <w:t>Klíčová aktivita v Projektu</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AEC7B59" w14:textId="31532F4E" w:rsidR="004255D9" w:rsidRPr="00DD51CE" w:rsidRDefault="006733FC" w:rsidP="00DD51CE">
            <w:pPr>
              <w:spacing w:after="120" w:line="240" w:lineRule="auto"/>
              <w:jc w:val="both"/>
              <w:rPr>
                <w:rFonts w:eastAsia="Cambria"/>
                <w:sz w:val="24"/>
                <w:szCs w:val="24"/>
              </w:rPr>
            </w:pPr>
            <w:r w:rsidRPr="00DD51CE">
              <w:rPr>
                <w:rFonts w:eastAsia="Calibri"/>
                <w:b/>
                <w:sz w:val="24"/>
                <w:szCs w:val="24"/>
              </w:rPr>
              <w:t>Časová dotace</w:t>
            </w:r>
          </w:p>
        </w:tc>
      </w:tr>
      <w:tr w:rsidR="004255D9" w:rsidRPr="00DD51CE" w14:paraId="1141F04B" w14:textId="77777777" w:rsidTr="00E27C7B">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C0089CC" w14:textId="77777777" w:rsidR="004255D9" w:rsidRPr="00DD51CE" w:rsidRDefault="004255D9" w:rsidP="00DD51CE">
            <w:pPr>
              <w:spacing w:after="120" w:line="240" w:lineRule="auto"/>
              <w:rPr>
                <w:rFonts w:eastAsia="Cambria"/>
                <w:sz w:val="24"/>
                <w:szCs w:val="24"/>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BB31BE5" w14:textId="77777777" w:rsidR="004255D9" w:rsidRPr="00DD51CE" w:rsidRDefault="004255D9" w:rsidP="00DD51CE">
            <w:pPr>
              <w:spacing w:after="120" w:line="240" w:lineRule="auto"/>
              <w:rPr>
                <w:rFonts w:eastAsia="Cambria"/>
                <w:sz w:val="24"/>
                <w:szCs w:val="24"/>
              </w:rPr>
            </w:pPr>
          </w:p>
        </w:tc>
      </w:tr>
      <w:tr w:rsidR="004255D9" w:rsidRPr="00DD51CE" w14:paraId="7FA4A365" w14:textId="77777777" w:rsidTr="00E27C7B">
        <w:trPr>
          <w:trHeight w:val="38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2764" w14:textId="25DCA9D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 </w:t>
            </w:r>
            <w:r w:rsidR="00DD77DB" w:rsidRPr="00DD51CE">
              <w:rPr>
                <w:rFonts w:eastAsia="Calibri"/>
                <w:sz w:val="24"/>
                <w:szCs w:val="24"/>
              </w:rPr>
              <w:t>–</w:t>
            </w:r>
            <w:r w:rsidRPr="00DD51CE">
              <w:rPr>
                <w:rFonts w:eastAsia="Calibri"/>
                <w:sz w:val="24"/>
                <w:szCs w:val="24"/>
              </w:rPr>
              <w:t xml:space="preserve"> Lékařská první pomoc (kurz)</w:t>
            </w:r>
          </w:p>
        </w:tc>
        <w:tc>
          <w:tcPr>
            <w:tcW w:w="2093" w:type="dxa"/>
            <w:tcBorders>
              <w:bottom w:val="single" w:sz="4" w:space="0" w:color="000000"/>
              <w:right w:val="single" w:sz="4" w:space="0" w:color="000000"/>
            </w:tcBorders>
            <w:shd w:val="clear" w:color="auto" w:fill="F2F2F2"/>
            <w:vAlign w:val="center"/>
          </w:tcPr>
          <w:p w14:paraId="4C6FFF5E"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20 hod</w:t>
            </w:r>
          </w:p>
        </w:tc>
      </w:tr>
      <w:tr w:rsidR="004255D9" w:rsidRPr="00DD51CE" w14:paraId="3C0C3ED2" w14:textId="77777777" w:rsidTr="00E27C7B">
        <w:trPr>
          <w:trHeight w:val="4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4942" w14:textId="6AD8D18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KA2 </w:t>
            </w:r>
            <w:r w:rsidR="00DD77DB" w:rsidRPr="00DD51CE">
              <w:rPr>
                <w:rFonts w:eastAsia="Calibri"/>
                <w:sz w:val="24"/>
                <w:szCs w:val="24"/>
              </w:rPr>
              <w:t>–</w:t>
            </w:r>
            <w:r w:rsidRPr="00DD51CE">
              <w:rPr>
                <w:rFonts w:eastAsia="Calibri"/>
                <w:sz w:val="24"/>
                <w:szCs w:val="24"/>
              </w:rPr>
              <w:t xml:space="preserve"> Základy zdravotnické legislativy, etiky a komunikace (kurz)</w:t>
            </w:r>
          </w:p>
        </w:tc>
        <w:tc>
          <w:tcPr>
            <w:tcW w:w="2093" w:type="dxa"/>
            <w:tcBorders>
              <w:bottom w:val="single" w:sz="4" w:space="0" w:color="000000"/>
              <w:right w:val="single" w:sz="4" w:space="0" w:color="000000"/>
            </w:tcBorders>
            <w:shd w:val="clear" w:color="auto" w:fill="F2F2F2"/>
            <w:vAlign w:val="center"/>
          </w:tcPr>
          <w:p w14:paraId="009054A7"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16 hod</w:t>
            </w:r>
          </w:p>
        </w:tc>
      </w:tr>
      <w:tr w:rsidR="004255D9" w:rsidRPr="00DD51CE" w14:paraId="26DCF85D"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C1F3" w14:textId="1D02B5F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KA3 </w:t>
            </w:r>
            <w:r w:rsidR="00DD77DB" w:rsidRPr="00DD51CE">
              <w:rPr>
                <w:rFonts w:eastAsia="Calibri"/>
                <w:sz w:val="24"/>
                <w:szCs w:val="24"/>
              </w:rPr>
              <w:t>–</w:t>
            </w:r>
            <w:r w:rsidRPr="00DD51CE">
              <w:rPr>
                <w:rFonts w:eastAsia="Calibri"/>
                <w:sz w:val="24"/>
                <w:szCs w:val="24"/>
              </w:rPr>
              <w:t xml:space="preserve"> Prevence škodlivého užívání návykových látek a léčba závislostí (kurz)</w:t>
            </w:r>
          </w:p>
        </w:tc>
        <w:tc>
          <w:tcPr>
            <w:tcW w:w="2093" w:type="dxa"/>
            <w:tcBorders>
              <w:bottom w:val="single" w:sz="4" w:space="0" w:color="000000"/>
              <w:right w:val="single" w:sz="4" w:space="0" w:color="000000"/>
            </w:tcBorders>
            <w:shd w:val="clear" w:color="auto" w:fill="F2F2F2"/>
            <w:vAlign w:val="center"/>
          </w:tcPr>
          <w:p w14:paraId="7C676D67"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 xml:space="preserve">8 hod </w:t>
            </w:r>
          </w:p>
        </w:tc>
      </w:tr>
      <w:tr w:rsidR="004255D9" w:rsidRPr="00DD51CE" w14:paraId="6724767C"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C9A7" w14:textId="10BB583D"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KA4 </w:t>
            </w:r>
            <w:r w:rsidR="00DD77DB" w:rsidRPr="00DD51CE">
              <w:rPr>
                <w:rFonts w:eastAsia="Calibri"/>
                <w:sz w:val="24"/>
                <w:szCs w:val="24"/>
              </w:rPr>
              <w:t>–</w:t>
            </w:r>
            <w:r w:rsidRPr="00DD51CE">
              <w:rPr>
                <w:rFonts w:eastAsia="Calibri"/>
                <w:sz w:val="24"/>
                <w:szCs w:val="24"/>
              </w:rPr>
              <w:t xml:space="preserve"> Radiační ochrana (kurz)</w:t>
            </w:r>
          </w:p>
        </w:tc>
        <w:tc>
          <w:tcPr>
            <w:tcW w:w="2093" w:type="dxa"/>
            <w:tcBorders>
              <w:bottom w:val="single" w:sz="4" w:space="0" w:color="000000"/>
              <w:right w:val="single" w:sz="4" w:space="0" w:color="000000"/>
            </w:tcBorders>
            <w:shd w:val="clear" w:color="auto" w:fill="F2F2F2"/>
            <w:vAlign w:val="center"/>
          </w:tcPr>
          <w:p w14:paraId="18B4B22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8 hod</w:t>
            </w:r>
          </w:p>
        </w:tc>
      </w:tr>
      <w:tr w:rsidR="004255D9" w:rsidRPr="00DD51CE" w14:paraId="793AB424"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62D6" w14:textId="4BD4C8F6"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2093" w:type="dxa"/>
            <w:tcBorders>
              <w:bottom w:val="single" w:sz="4" w:space="0" w:color="000000"/>
              <w:right w:val="single" w:sz="4" w:space="0" w:color="000000"/>
            </w:tcBorders>
            <w:shd w:val="clear" w:color="auto" w:fill="F2F2F2"/>
            <w:vAlign w:val="center"/>
          </w:tcPr>
          <w:p w14:paraId="13F6AC3F" w14:textId="140BF9D9"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70FA7AB0"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BF50" w14:textId="07623BA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2093" w:type="dxa"/>
            <w:tcBorders>
              <w:bottom w:val="single" w:sz="4" w:space="0" w:color="000000"/>
              <w:right w:val="single" w:sz="4" w:space="0" w:color="000000"/>
            </w:tcBorders>
            <w:shd w:val="clear" w:color="auto" w:fill="F2F2F2"/>
            <w:vAlign w:val="center"/>
          </w:tcPr>
          <w:p w14:paraId="7C41522D" w14:textId="0F673AF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6860CC7E"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92F8" w14:textId="0FBF491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2093" w:type="dxa"/>
            <w:tcBorders>
              <w:bottom w:val="single" w:sz="4" w:space="0" w:color="000000"/>
              <w:right w:val="single" w:sz="4" w:space="0" w:color="000000"/>
            </w:tcBorders>
            <w:shd w:val="clear" w:color="auto" w:fill="F2F2F2"/>
            <w:vAlign w:val="center"/>
          </w:tcPr>
          <w:p w14:paraId="72B0169F" w14:textId="71A8625D"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12794268"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EBFE" w14:textId="19F7124B"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2093" w:type="dxa"/>
            <w:tcBorders>
              <w:bottom w:val="single" w:sz="4" w:space="0" w:color="000000"/>
              <w:right w:val="single" w:sz="4" w:space="0" w:color="000000"/>
            </w:tcBorders>
            <w:shd w:val="clear" w:color="auto" w:fill="F2F2F2"/>
            <w:vAlign w:val="center"/>
          </w:tcPr>
          <w:p w14:paraId="4D175088" w14:textId="1B640A5B"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6914F3E7"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50D1" w14:textId="3A4AB3D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2093" w:type="dxa"/>
            <w:tcBorders>
              <w:bottom w:val="single" w:sz="4" w:space="0" w:color="000000"/>
              <w:right w:val="single" w:sz="4" w:space="0" w:color="000000"/>
            </w:tcBorders>
            <w:shd w:val="clear" w:color="auto" w:fill="F2F2F2"/>
            <w:vAlign w:val="center"/>
          </w:tcPr>
          <w:p w14:paraId="6E2A553D" w14:textId="3355640D"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7385D2F3"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D0BD" w14:textId="3DF48C82" w:rsidR="004255D9" w:rsidRPr="00DD51CE" w:rsidRDefault="006733FC" w:rsidP="00DD51CE">
            <w:pPr>
              <w:spacing w:after="120" w:line="240" w:lineRule="auto"/>
              <w:jc w:val="both"/>
              <w:rPr>
                <w:rFonts w:eastAsia="Calibri"/>
                <w:sz w:val="24"/>
                <w:szCs w:val="24"/>
              </w:rPr>
            </w:pPr>
            <w:r w:rsidRPr="00DD51CE">
              <w:rPr>
                <w:rFonts w:eastAsia="Calibri"/>
                <w:sz w:val="24"/>
                <w:szCs w:val="24"/>
              </w:rPr>
              <w:lastRenderedPageBreak/>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2093" w:type="dxa"/>
            <w:tcBorders>
              <w:bottom w:val="single" w:sz="4" w:space="0" w:color="000000"/>
              <w:right w:val="single" w:sz="4" w:space="0" w:color="000000"/>
            </w:tcBorders>
            <w:shd w:val="clear" w:color="auto" w:fill="auto"/>
            <w:vAlign w:val="center"/>
          </w:tcPr>
          <w:p w14:paraId="4F9DCB1C" w14:textId="698E4AF9"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24 měs</w:t>
            </w:r>
            <w:r w:rsidR="00E6591D" w:rsidRPr="00DD51CE">
              <w:rPr>
                <w:rFonts w:eastAsia="Calibri"/>
                <w:sz w:val="24"/>
                <w:szCs w:val="24"/>
              </w:rPr>
              <w:t>íců</w:t>
            </w:r>
          </w:p>
        </w:tc>
      </w:tr>
      <w:tr w:rsidR="004255D9" w:rsidRPr="00DD51CE" w14:paraId="7376C039" w14:textId="77777777" w:rsidTr="00E27C7B">
        <w:trPr>
          <w:trHeight w:val="40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B60D" w14:textId="678AC22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 pro lékaře s pediatrickým kmenem</w:t>
            </w:r>
          </w:p>
        </w:tc>
        <w:tc>
          <w:tcPr>
            <w:tcW w:w="2093" w:type="dxa"/>
            <w:tcBorders>
              <w:bottom w:val="single" w:sz="4" w:space="0" w:color="000000"/>
              <w:right w:val="single" w:sz="4" w:space="0" w:color="000000"/>
            </w:tcBorders>
            <w:shd w:val="clear" w:color="auto" w:fill="auto"/>
            <w:vAlign w:val="center"/>
          </w:tcPr>
          <w:p w14:paraId="002701A5" w14:textId="7AC095C0"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11 měs</w:t>
            </w:r>
            <w:r w:rsidR="00E6591D" w:rsidRPr="00DD51CE">
              <w:rPr>
                <w:rFonts w:eastAsia="Calibri"/>
                <w:sz w:val="24"/>
                <w:szCs w:val="24"/>
              </w:rPr>
              <w:t>íců</w:t>
            </w:r>
            <w:r w:rsidRPr="00DD51CE">
              <w:rPr>
                <w:rFonts w:eastAsia="Calibri"/>
                <w:sz w:val="24"/>
                <w:szCs w:val="24"/>
              </w:rPr>
              <w:t xml:space="preserve"> </w:t>
            </w:r>
            <w:r w:rsidR="00595E72">
              <w:rPr>
                <w:rFonts w:eastAsia="Calibri"/>
                <w:sz w:val="24"/>
                <w:szCs w:val="24"/>
              </w:rPr>
              <w:t xml:space="preserve">a </w:t>
            </w:r>
            <w:r w:rsidRPr="00DD51CE">
              <w:rPr>
                <w:rFonts w:eastAsia="Calibri"/>
                <w:sz w:val="24"/>
                <w:szCs w:val="24"/>
              </w:rPr>
              <w:t>1 týd</w:t>
            </w:r>
            <w:r w:rsidR="00E6591D" w:rsidRPr="00DD51CE">
              <w:rPr>
                <w:rFonts w:eastAsia="Calibri"/>
                <w:sz w:val="24"/>
                <w:szCs w:val="24"/>
              </w:rPr>
              <w:t>en</w:t>
            </w:r>
          </w:p>
        </w:tc>
      </w:tr>
      <w:tr w:rsidR="004255D9" w:rsidRPr="00DD51CE" w14:paraId="0171134A"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4E22" w14:textId="5F3A768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Dětské lékařství (praxe) – pro lékaře s neurologickým kmenem</w:t>
            </w:r>
          </w:p>
        </w:tc>
        <w:tc>
          <w:tcPr>
            <w:tcW w:w="2093" w:type="dxa"/>
            <w:tcBorders>
              <w:bottom w:val="single" w:sz="4" w:space="0" w:color="000000"/>
              <w:right w:val="single" w:sz="4" w:space="0" w:color="000000"/>
            </w:tcBorders>
            <w:shd w:val="clear" w:color="auto" w:fill="auto"/>
            <w:vAlign w:val="center"/>
          </w:tcPr>
          <w:p w14:paraId="38F74724" w14:textId="329B9B1B"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max.11 měs</w:t>
            </w:r>
            <w:r w:rsidR="00E6591D" w:rsidRPr="00DD51CE">
              <w:rPr>
                <w:rFonts w:eastAsia="Calibri"/>
                <w:sz w:val="24"/>
                <w:szCs w:val="24"/>
              </w:rPr>
              <w:t>íců</w:t>
            </w:r>
            <w:r w:rsidRPr="00DD51CE">
              <w:rPr>
                <w:rFonts w:eastAsia="Calibri"/>
                <w:sz w:val="24"/>
                <w:szCs w:val="24"/>
              </w:rPr>
              <w:t xml:space="preserve"> </w:t>
            </w:r>
            <w:r w:rsidR="00595E72">
              <w:rPr>
                <w:rFonts w:eastAsia="Calibri"/>
                <w:sz w:val="24"/>
                <w:szCs w:val="24"/>
              </w:rPr>
              <w:t>a </w:t>
            </w:r>
            <w:r w:rsidRPr="00595E72">
              <w:rPr>
                <w:rFonts w:eastAsia="Calibri"/>
                <w:sz w:val="24"/>
                <w:szCs w:val="24"/>
              </w:rPr>
              <w:t>1</w:t>
            </w:r>
            <w:r w:rsidR="00595E72" w:rsidRPr="00595E72">
              <w:rPr>
                <w:rFonts w:eastAsia="Calibri"/>
                <w:sz w:val="24"/>
                <w:szCs w:val="24"/>
              </w:rPr>
              <w:t> </w:t>
            </w:r>
            <w:r w:rsidRPr="00595E72">
              <w:rPr>
                <w:rFonts w:eastAsia="Calibri"/>
                <w:sz w:val="24"/>
                <w:szCs w:val="24"/>
              </w:rPr>
              <w:t>týd</w:t>
            </w:r>
            <w:r w:rsidR="00E6591D" w:rsidRPr="00595E72">
              <w:rPr>
                <w:rFonts w:eastAsia="Calibri"/>
                <w:sz w:val="24"/>
                <w:szCs w:val="24"/>
              </w:rPr>
              <w:t>en</w:t>
            </w:r>
          </w:p>
        </w:tc>
      </w:tr>
      <w:tr w:rsidR="004255D9" w:rsidRPr="00DD51CE" w14:paraId="7A1639FF"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9DE0" w14:textId="48B66079"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2093" w:type="dxa"/>
            <w:tcBorders>
              <w:bottom w:val="single" w:sz="4" w:space="0" w:color="000000"/>
              <w:right w:val="single" w:sz="4" w:space="0" w:color="000000"/>
            </w:tcBorders>
            <w:shd w:val="clear" w:color="auto" w:fill="auto"/>
            <w:vAlign w:val="center"/>
          </w:tcPr>
          <w:p w14:paraId="419E89B8" w14:textId="5445D795"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3 týd</w:t>
            </w:r>
            <w:r w:rsidR="00E6591D" w:rsidRPr="00DD51CE">
              <w:rPr>
                <w:rFonts w:eastAsia="Calibri"/>
                <w:sz w:val="24"/>
                <w:szCs w:val="24"/>
              </w:rPr>
              <w:t>ny</w:t>
            </w:r>
          </w:p>
        </w:tc>
      </w:tr>
      <w:tr w:rsidR="004255D9" w:rsidRPr="00DD51CE" w14:paraId="24C39266"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E9E4" w14:textId="6D5DB4A5"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2093" w:type="dxa"/>
            <w:tcBorders>
              <w:bottom w:val="single" w:sz="4" w:space="0" w:color="000000"/>
              <w:right w:val="single" w:sz="4" w:space="0" w:color="000000"/>
            </w:tcBorders>
            <w:shd w:val="clear" w:color="auto" w:fill="auto"/>
            <w:vAlign w:val="center"/>
          </w:tcPr>
          <w:p w14:paraId="6108AC37" w14:textId="77777777" w:rsidR="004255D9" w:rsidRPr="00DD51CE" w:rsidRDefault="006733FC" w:rsidP="00DD51CE">
            <w:pPr>
              <w:spacing w:after="120" w:line="240" w:lineRule="auto"/>
              <w:rPr>
                <w:rFonts w:eastAsia="Calibri"/>
                <w:sz w:val="24"/>
                <w:szCs w:val="24"/>
              </w:rPr>
            </w:pPr>
            <w:r w:rsidRPr="00DD51CE">
              <w:rPr>
                <w:rFonts w:eastAsia="Calibri"/>
                <w:sz w:val="24"/>
                <w:szCs w:val="24"/>
              </w:rPr>
              <w:t>není relevantní</w:t>
            </w:r>
          </w:p>
        </w:tc>
      </w:tr>
    </w:tbl>
    <w:p w14:paraId="7DD4136A" w14:textId="77777777" w:rsidR="004255D9" w:rsidRPr="00DD51CE" w:rsidRDefault="004255D9" w:rsidP="00DD51CE">
      <w:pPr>
        <w:spacing w:after="120" w:line="240" w:lineRule="auto"/>
        <w:jc w:val="both"/>
        <w:rPr>
          <w:rFonts w:eastAsia="Calibri"/>
          <w:sz w:val="24"/>
          <w:szCs w:val="24"/>
        </w:rPr>
      </w:pPr>
    </w:p>
    <w:p w14:paraId="4BF9CAD5" w14:textId="2CBFEF21" w:rsidR="004255D9" w:rsidRPr="00DD51CE" w:rsidRDefault="008D4B0E" w:rsidP="00DE45DF">
      <w:pPr>
        <w:widowControl/>
        <w:numPr>
          <w:ilvl w:val="0"/>
          <w:numId w:val="4"/>
        </w:numPr>
        <w:spacing w:after="120" w:line="240" w:lineRule="auto"/>
        <w:ind w:left="414" w:hanging="357"/>
        <w:jc w:val="both"/>
        <w:rPr>
          <w:rFonts w:eastAsia="Cambria"/>
          <w:sz w:val="24"/>
          <w:szCs w:val="24"/>
        </w:rPr>
      </w:pPr>
      <w:r>
        <w:rPr>
          <w:rFonts w:eastAsia="Calibri"/>
          <w:b/>
          <w:sz w:val="24"/>
          <w:szCs w:val="24"/>
        </w:rPr>
        <w:t>L</w:t>
      </w:r>
      <w:r w:rsidR="006733FC" w:rsidRPr="00DD51CE">
        <w:rPr>
          <w:rFonts w:eastAsia="Calibri"/>
          <w:b/>
          <w:sz w:val="24"/>
          <w:szCs w:val="24"/>
        </w:rPr>
        <w:t>ékaři, zařazení do programu oboru od 1. 7. 2017</w:t>
      </w:r>
      <w:r w:rsidR="006733FC" w:rsidRPr="00DD51CE">
        <w:rPr>
          <w:rFonts w:eastAsia="Calibri"/>
          <w:sz w:val="24"/>
          <w:szCs w:val="24"/>
        </w:rPr>
        <w:t xml:space="preserve">, podle „Vzdělávacího programu specializačního oboru dětská neurologie </w:t>
      </w:r>
      <w:r w:rsidR="00DD77DB" w:rsidRPr="00DD51CE">
        <w:rPr>
          <w:rFonts w:eastAsia="Calibri"/>
          <w:sz w:val="24"/>
          <w:szCs w:val="24"/>
        </w:rPr>
        <w:t>–</w:t>
      </w:r>
      <w:r w:rsidR="006733FC" w:rsidRPr="00DD51CE">
        <w:rPr>
          <w:rFonts w:eastAsia="Calibri"/>
          <w:sz w:val="24"/>
          <w:szCs w:val="24"/>
        </w:rPr>
        <w:t xml:space="preserve"> vlastní specializovaný výcvik“, zveřejněného ve Věstníku MZ ČR, roč. 2018, částka 11 (dále jen „DN Věstník 2018“), a to při splnění těchto podmínek:</w:t>
      </w:r>
    </w:p>
    <w:p w14:paraId="69CF3EDF" w14:textId="6B889EE4" w:rsidR="004255D9" w:rsidRPr="00DD51CE" w:rsidRDefault="008D4B0E" w:rsidP="00AB784E">
      <w:pPr>
        <w:numPr>
          <w:ilvl w:val="0"/>
          <w:numId w:val="12"/>
        </w:numPr>
        <w:spacing w:after="120" w:line="240" w:lineRule="auto"/>
        <w:ind w:left="851" w:hanging="425"/>
        <w:jc w:val="both"/>
        <w:rPr>
          <w:rFonts w:eastAsia="Cambria"/>
          <w:sz w:val="24"/>
          <w:szCs w:val="24"/>
        </w:rPr>
      </w:pPr>
      <w:r>
        <w:rPr>
          <w:rFonts w:eastAsia="Calibri"/>
          <w:sz w:val="24"/>
          <w:szCs w:val="24"/>
        </w:rPr>
        <w:t>L</w:t>
      </w:r>
      <w:r w:rsidR="006733FC" w:rsidRPr="00DD51CE">
        <w:rPr>
          <w:rFonts w:eastAsia="Calibri"/>
          <w:sz w:val="24"/>
          <w:szCs w:val="24"/>
        </w:rPr>
        <w:t>ékaři, kteří absolvovali vzdělávání v příslušném základním kmeni podle vzdělávacích programů platných před 30. 6. 2017</w:t>
      </w:r>
      <w:r w:rsidR="006733FC" w:rsidRPr="00DD51CE">
        <w:rPr>
          <w:rFonts w:eastAsia="Calibri"/>
          <w:sz w:val="24"/>
          <w:szCs w:val="24"/>
          <w:vertAlign w:val="superscript"/>
        </w:rPr>
        <w:footnoteReference w:id="2"/>
      </w:r>
      <w:r w:rsidR="006733FC" w:rsidRPr="00DD51CE">
        <w:rPr>
          <w:rFonts w:eastAsia="Calibri"/>
          <w:sz w:val="24"/>
          <w:szCs w:val="24"/>
        </w:rPr>
        <w:t xml:space="preserve"> a o ukončení tohoto vzdělávání obdrželi příslušný certifikát vydaný MZ nebo pověřenou organizací,</w:t>
      </w:r>
      <w:r w:rsidR="003458D3" w:rsidRPr="00DD51CE">
        <w:rPr>
          <w:rFonts w:eastAsia="Calibri"/>
          <w:sz w:val="24"/>
          <w:szCs w:val="24"/>
        </w:rPr>
        <w:t xml:space="preserve"> a kteří</w:t>
      </w:r>
      <w:r w:rsidR="006733FC" w:rsidRPr="00DD51CE">
        <w:rPr>
          <w:rFonts w:eastAsia="Calibri"/>
          <w:sz w:val="24"/>
          <w:szCs w:val="24"/>
        </w:rPr>
        <w:t xml:space="preserve"> si před vstupem do Projektu dopln</w:t>
      </w:r>
      <w:r w:rsidR="00C84322" w:rsidRPr="00DD51CE">
        <w:rPr>
          <w:rFonts w:eastAsia="Calibri"/>
          <w:sz w:val="24"/>
          <w:szCs w:val="24"/>
        </w:rPr>
        <w:t>ili</w:t>
      </w:r>
      <w:r w:rsidR="006733FC" w:rsidRPr="00DD51CE">
        <w:rPr>
          <w:rFonts w:eastAsia="Calibri"/>
          <w:sz w:val="24"/>
          <w:szCs w:val="24"/>
        </w:rPr>
        <w:t xml:space="preserve"> svou odbornou praxi tak, </w:t>
      </w:r>
      <w:r w:rsidR="00C84322" w:rsidRPr="00DD51CE">
        <w:rPr>
          <w:rFonts w:eastAsia="Calibri"/>
          <w:sz w:val="24"/>
          <w:szCs w:val="24"/>
        </w:rPr>
        <w:t>že</w:t>
      </w:r>
      <w:r w:rsidR="006733FC" w:rsidRPr="00DD51CE">
        <w:rPr>
          <w:rFonts w:eastAsia="Calibri"/>
          <w:sz w:val="24"/>
          <w:szCs w:val="24"/>
        </w:rPr>
        <w:t xml:space="preserve"> délka a obsah praxe absolvované v základním kmeni odpovíd</w:t>
      </w:r>
      <w:r w:rsidR="00C84322" w:rsidRPr="00DD51CE">
        <w:rPr>
          <w:rFonts w:eastAsia="Calibri"/>
          <w:sz w:val="24"/>
          <w:szCs w:val="24"/>
        </w:rPr>
        <w:t>á</w:t>
      </w:r>
      <w:r w:rsidR="006733FC" w:rsidRPr="00DD51CE">
        <w:rPr>
          <w:rFonts w:eastAsia="Calibri"/>
          <w:sz w:val="24"/>
          <w:szCs w:val="24"/>
        </w:rPr>
        <w:t xml:space="preserve"> délce vyžadované prováděcím právním předpisem</w:t>
      </w:r>
      <w:r w:rsidR="006733FC" w:rsidRPr="00DD51CE">
        <w:rPr>
          <w:rFonts w:eastAsia="Calibri"/>
          <w:sz w:val="24"/>
          <w:szCs w:val="24"/>
          <w:vertAlign w:val="superscript"/>
        </w:rPr>
        <w:footnoteReference w:id="3"/>
      </w:r>
      <w:r w:rsidR="006733FC" w:rsidRPr="00DD51CE">
        <w:rPr>
          <w:rFonts w:eastAsia="Calibri"/>
          <w:sz w:val="24"/>
          <w:szCs w:val="24"/>
        </w:rPr>
        <w:t>. Doplnění povinné praxe účastníci do</w:t>
      </w:r>
      <w:r w:rsidR="00C84322" w:rsidRPr="00DD51CE">
        <w:rPr>
          <w:rFonts w:eastAsia="Calibri"/>
          <w:sz w:val="24"/>
          <w:szCs w:val="24"/>
        </w:rPr>
        <w:t xml:space="preserve">ložili </w:t>
      </w:r>
      <w:r w:rsidR="006733FC" w:rsidRPr="00DD51CE">
        <w:rPr>
          <w:rFonts w:eastAsia="Calibri"/>
          <w:sz w:val="24"/>
          <w:szCs w:val="24"/>
        </w:rPr>
        <w:t>příslušným záznamem v průkazu odbornosti</w:t>
      </w:r>
      <w:r w:rsidR="00983B27">
        <w:rPr>
          <w:rFonts w:eastAsia="Calibri"/>
          <w:sz w:val="24"/>
          <w:szCs w:val="24"/>
        </w:rPr>
        <w:t xml:space="preserve"> </w:t>
      </w:r>
      <w:r w:rsidR="006733FC" w:rsidRPr="00DD51CE">
        <w:rPr>
          <w:rFonts w:eastAsia="Calibri"/>
          <w:sz w:val="24"/>
          <w:szCs w:val="24"/>
        </w:rPr>
        <w:t>/</w:t>
      </w:r>
      <w:r w:rsidR="00983B27">
        <w:rPr>
          <w:rFonts w:eastAsia="Calibri"/>
          <w:sz w:val="24"/>
          <w:szCs w:val="24"/>
        </w:rPr>
        <w:t xml:space="preserve"> </w:t>
      </w:r>
      <w:proofErr w:type="spellStart"/>
      <w:r w:rsidR="006733FC" w:rsidRPr="00DD51CE">
        <w:rPr>
          <w:rFonts w:eastAsia="Calibri"/>
          <w:sz w:val="24"/>
          <w:szCs w:val="24"/>
        </w:rPr>
        <w:t>logbooku</w:t>
      </w:r>
      <w:proofErr w:type="spellEnd"/>
      <w:r w:rsidR="006733FC" w:rsidRPr="00DD51CE">
        <w:rPr>
          <w:rFonts w:eastAsia="Calibri"/>
          <w:sz w:val="24"/>
          <w:szCs w:val="24"/>
        </w:rPr>
        <w:t>:</w:t>
      </w:r>
    </w:p>
    <w:tbl>
      <w:tblPr>
        <w:tblStyle w:val="a0"/>
        <w:tblW w:w="922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1951"/>
      </w:tblGrid>
      <w:tr w:rsidR="004255D9" w:rsidRPr="00DD51CE" w14:paraId="262B00B3" w14:textId="77777777" w:rsidTr="00E27C7B">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5AD6327" w14:textId="77777777" w:rsidR="004255D9" w:rsidRPr="00DD51CE" w:rsidRDefault="006733FC" w:rsidP="00DD51CE">
            <w:pPr>
              <w:spacing w:after="120" w:line="240" w:lineRule="auto"/>
              <w:jc w:val="center"/>
              <w:rPr>
                <w:rFonts w:eastAsia="Calibri"/>
                <w:b/>
                <w:sz w:val="24"/>
                <w:szCs w:val="24"/>
              </w:rPr>
            </w:pPr>
            <w:r w:rsidRPr="00DD51CE">
              <w:rPr>
                <w:rFonts w:eastAsia="Calibri"/>
                <w:b/>
                <w:sz w:val="24"/>
                <w:szCs w:val="24"/>
              </w:rPr>
              <w:t>Klíčová aktivita v Projektu</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7C1857F" w14:textId="77777777" w:rsidR="004255D9" w:rsidRPr="00DD51CE" w:rsidRDefault="006733FC" w:rsidP="00DD51CE">
            <w:pPr>
              <w:spacing w:after="120" w:line="240" w:lineRule="auto"/>
              <w:jc w:val="center"/>
              <w:rPr>
                <w:rFonts w:eastAsia="Cambria"/>
                <w:sz w:val="24"/>
                <w:szCs w:val="24"/>
              </w:rPr>
            </w:pPr>
            <w:r w:rsidRPr="00DD51CE">
              <w:rPr>
                <w:rFonts w:eastAsia="Calibri"/>
                <w:b/>
                <w:sz w:val="24"/>
                <w:szCs w:val="24"/>
              </w:rPr>
              <w:t>Časová dotace</w:t>
            </w:r>
          </w:p>
        </w:tc>
      </w:tr>
      <w:tr w:rsidR="004255D9" w:rsidRPr="00DD51CE" w14:paraId="6BE0526D" w14:textId="77777777" w:rsidTr="00E27C7B">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AC6A945" w14:textId="77777777" w:rsidR="004255D9" w:rsidRPr="00DD51CE" w:rsidRDefault="004255D9" w:rsidP="00DD51CE">
            <w:pPr>
              <w:spacing w:after="120" w:line="240" w:lineRule="auto"/>
              <w:rPr>
                <w:rFonts w:eastAsia="Cambria"/>
                <w:sz w:val="24"/>
                <w:szCs w:val="24"/>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2589888" w14:textId="77777777" w:rsidR="004255D9" w:rsidRPr="00DD51CE" w:rsidRDefault="004255D9" w:rsidP="00DD51CE">
            <w:pPr>
              <w:spacing w:after="120" w:line="240" w:lineRule="auto"/>
              <w:rPr>
                <w:rFonts w:eastAsia="Cambria"/>
                <w:sz w:val="24"/>
                <w:szCs w:val="24"/>
              </w:rPr>
            </w:pPr>
          </w:p>
        </w:tc>
      </w:tr>
      <w:tr w:rsidR="004255D9" w:rsidRPr="00DD51CE" w14:paraId="17F47B06"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0235" w14:textId="518643D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1951" w:type="dxa"/>
            <w:tcBorders>
              <w:bottom w:val="single" w:sz="4" w:space="0" w:color="000000"/>
              <w:right w:val="single" w:sz="4" w:space="0" w:color="000000"/>
            </w:tcBorders>
            <w:shd w:val="clear" w:color="auto" w:fill="F2F2F2"/>
            <w:vAlign w:val="center"/>
          </w:tcPr>
          <w:p w14:paraId="48AC603A"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109BB5C0"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4284" w14:textId="7377FF9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1951" w:type="dxa"/>
            <w:tcBorders>
              <w:bottom w:val="single" w:sz="4" w:space="0" w:color="000000"/>
              <w:right w:val="single" w:sz="4" w:space="0" w:color="000000"/>
            </w:tcBorders>
            <w:shd w:val="clear" w:color="auto" w:fill="F2F2F2"/>
            <w:vAlign w:val="center"/>
          </w:tcPr>
          <w:p w14:paraId="05A47150"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2F092A36"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3641" w14:textId="47E145D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1951" w:type="dxa"/>
            <w:tcBorders>
              <w:bottom w:val="single" w:sz="4" w:space="0" w:color="000000"/>
              <w:right w:val="single" w:sz="4" w:space="0" w:color="000000"/>
            </w:tcBorders>
            <w:shd w:val="clear" w:color="auto" w:fill="F2F2F2"/>
            <w:vAlign w:val="center"/>
          </w:tcPr>
          <w:p w14:paraId="2A663B99"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454C9AA9"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13FD" w14:textId="51F8352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1951" w:type="dxa"/>
            <w:tcBorders>
              <w:bottom w:val="single" w:sz="4" w:space="0" w:color="000000"/>
              <w:right w:val="single" w:sz="4" w:space="0" w:color="000000"/>
            </w:tcBorders>
            <w:shd w:val="clear" w:color="auto" w:fill="F2F2F2"/>
            <w:vAlign w:val="center"/>
          </w:tcPr>
          <w:p w14:paraId="10FC977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37D6BF9E"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0FBA" w14:textId="4A15E26B"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1951" w:type="dxa"/>
            <w:tcBorders>
              <w:bottom w:val="single" w:sz="4" w:space="0" w:color="000000"/>
              <w:right w:val="single" w:sz="4" w:space="0" w:color="000000"/>
            </w:tcBorders>
            <w:shd w:val="clear" w:color="auto" w:fill="F2F2F2"/>
            <w:vAlign w:val="center"/>
          </w:tcPr>
          <w:p w14:paraId="7D260D3C"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592BA9B3"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DDF3" w14:textId="2CC5201D"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1951" w:type="dxa"/>
            <w:tcBorders>
              <w:bottom w:val="single" w:sz="4" w:space="0" w:color="000000"/>
              <w:right w:val="single" w:sz="4" w:space="0" w:color="000000"/>
            </w:tcBorders>
            <w:shd w:val="clear" w:color="auto" w:fill="auto"/>
            <w:vAlign w:val="center"/>
          </w:tcPr>
          <w:p w14:paraId="452C8D0B" w14:textId="5203F1E0"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18 měs</w:t>
            </w:r>
            <w:r w:rsidR="003458D3" w:rsidRPr="00DD51CE">
              <w:rPr>
                <w:rFonts w:eastAsia="Calibri"/>
                <w:sz w:val="24"/>
                <w:szCs w:val="24"/>
              </w:rPr>
              <w:t>íců</w:t>
            </w:r>
          </w:p>
        </w:tc>
      </w:tr>
      <w:tr w:rsidR="004255D9" w:rsidRPr="00DD51CE" w14:paraId="0299BEE6" w14:textId="77777777" w:rsidTr="00E27C7B">
        <w:trPr>
          <w:trHeight w:val="40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1589" w14:textId="0A60BEC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 pro lékaře se základním pediatrickým kmenem</w:t>
            </w:r>
          </w:p>
        </w:tc>
        <w:tc>
          <w:tcPr>
            <w:tcW w:w="1951" w:type="dxa"/>
            <w:tcBorders>
              <w:bottom w:val="single" w:sz="4" w:space="0" w:color="000000"/>
              <w:right w:val="single" w:sz="4" w:space="0" w:color="000000"/>
            </w:tcBorders>
            <w:shd w:val="clear" w:color="auto" w:fill="auto"/>
            <w:vAlign w:val="center"/>
          </w:tcPr>
          <w:p w14:paraId="32B91CFC" w14:textId="1F1D385F"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max.5 měs</w:t>
            </w:r>
            <w:r w:rsidR="003458D3" w:rsidRPr="00DD51CE">
              <w:rPr>
                <w:rFonts w:eastAsia="Calibri"/>
                <w:sz w:val="24"/>
                <w:szCs w:val="24"/>
              </w:rPr>
              <w:t>íců</w:t>
            </w:r>
            <w:r w:rsidRPr="00DD51CE">
              <w:rPr>
                <w:rFonts w:eastAsia="Calibri"/>
                <w:sz w:val="24"/>
                <w:szCs w:val="24"/>
              </w:rPr>
              <w:t xml:space="preserve"> a</w:t>
            </w:r>
            <w:r w:rsidR="00595E72">
              <w:rPr>
                <w:rFonts w:eastAsia="Calibri"/>
                <w:sz w:val="24"/>
                <w:szCs w:val="24"/>
              </w:rPr>
              <w:t> </w:t>
            </w:r>
            <w:r w:rsidRPr="00DD51CE">
              <w:rPr>
                <w:rFonts w:eastAsia="Calibri"/>
                <w:sz w:val="24"/>
                <w:szCs w:val="24"/>
              </w:rPr>
              <w:t>2 týd</w:t>
            </w:r>
            <w:r w:rsidR="003458D3" w:rsidRPr="00DD51CE">
              <w:rPr>
                <w:rFonts w:eastAsia="Calibri"/>
                <w:sz w:val="24"/>
                <w:szCs w:val="24"/>
              </w:rPr>
              <w:t>ny</w:t>
            </w:r>
          </w:p>
        </w:tc>
      </w:tr>
      <w:tr w:rsidR="004255D9" w:rsidRPr="00DD51CE" w14:paraId="5B60BD26"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3EBE" w14:textId="684F245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Pediatrie (praxe) </w:t>
            </w:r>
            <w:r w:rsidR="00DD77DB" w:rsidRPr="00DD51CE">
              <w:rPr>
                <w:rFonts w:eastAsia="Calibri"/>
                <w:sz w:val="24"/>
                <w:szCs w:val="24"/>
              </w:rPr>
              <w:t>–</w:t>
            </w:r>
            <w:r w:rsidRPr="00DD51CE">
              <w:rPr>
                <w:rFonts w:eastAsia="Calibri"/>
                <w:sz w:val="24"/>
                <w:szCs w:val="24"/>
              </w:rPr>
              <w:t xml:space="preserve"> pro lékaře se základním neurologickým kmenem</w:t>
            </w:r>
          </w:p>
        </w:tc>
        <w:tc>
          <w:tcPr>
            <w:tcW w:w="1951" w:type="dxa"/>
            <w:tcBorders>
              <w:bottom w:val="single" w:sz="4" w:space="0" w:color="000000"/>
              <w:right w:val="single" w:sz="4" w:space="0" w:color="000000"/>
            </w:tcBorders>
            <w:shd w:val="clear" w:color="auto" w:fill="auto"/>
            <w:vAlign w:val="center"/>
          </w:tcPr>
          <w:p w14:paraId="4B9CD9EA" w14:textId="2A2EF572"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3458D3" w:rsidRPr="00DD51CE">
              <w:rPr>
                <w:rFonts w:eastAsia="Calibri"/>
                <w:sz w:val="24"/>
                <w:szCs w:val="24"/>
              </w:rPr>
              <w:t>íců</w:t>
            </w:r>
            <w:r w:rsidRPr="00DD51CE">
              <w:rPr>
                <w:rFonts w:eastAsia="Calibri"/>
                <w:sz w:val="24"/>
                <w:szCs w:val="24"/>
              </w:rPr>
              <w:t xml:space="preserve"> a 2 týd</w:t>
            </w:r>
            <w:r w:rsidR="003458D3" w:rsidRPr="00DD51CE">
              <w:rPr>
                <w:rFonts w:eastAsia="Calibri"/>
                <w:sz w:val="24"/>
                <w:szCs w:val="24"/>
              </w:rPr>
              <w:t>ny</w:t>
            </w:r>
          </w:p>
        </w:tc>
      </w:tr>
      <w:tr w:rsidR="004255D9" w:rsidRPr="00DD51CE" w14:paraId="0A123B8B"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3E29" w14:textId="662BB135"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1951" w:type="dxa"/>
            <w:tcBorders>
              <w:bottom w:val="single" w:sz="4" w:space="0" w:color="000000"/>
              <w:right w:val="single" w:sz="4" w:space="0" w:color="000000"/>
            </w:tcBorders>
            <w:shd w:val="clear" w:color="auto" w:fill="auto"/>
            <w:vAlign w:val="center"/>
          </w:tcPr>
          <w:p w14:paraId="606E7F30" w14:textId="7810A33C"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2 týd</w:t>
            </w:r>
            <w:r w:rsidR="003458D3" w:rsidRPr="00DD51CE">
              <w:rPr>
                <w:rFonts w:eastAsia="Calibri"/>
                <w:sz w:val="24"/>
                <w:szCs w:val="24"/>
              </w:rPr>
              <w:t>ny</w:t>
            </w:r>
          </w:p>
        </w:tc>
      </w:tr>
      <w:tr w:rsidR="004255D9" w:rsidRPr="00DD51CE" w14:paraId="7CF80F06"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F492" w14:textId="143ED9EA"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1951" w:type="dxa"/>
            <w:tcBorders>
              <w:bottom w:val="single" w:sz="4" w:space="0" w:color="000000"/>
              <w:right w:val="single" w:sz="4" w:space="0" w:color="000000"/>
            </w:tcBorders>
            <w:shd w:val="clear" w:color="auto" w:fill="auto"/>
            <w:vAlign w:val="center"/>
          </w:tcPr>
          <w:p w14:paraId="52ED8444"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není relevantní</w:t>
            </w:r>
          </w:p>
        </w:tc>
      </w:tr>
    </w:tbl>
    <w:p w14:paraId="53654FB7" w14:textId="77777777" w:rsidR="004255D9" w:rsidRPr="00DD51CE" w:rsidRDefault="004255D9" w:rsidP="00DD51CE">
      <w:pPr>
        <w:spacing w:after="120" w:line="240" w:lineRule="auto"/>
        <w:jc w:val="both"/>
        <w:rPr>
          <w:rFonts w:eastAsia="Calibri"/>
          <w:sz w:val="24"/>
          <w:szCs w:val="24"/>
        </w:rPr>
      </w:pPr>
    </w:p>
    <w:p w14:paraId="70B0071B" w14:textId="125DC986" w:rsidR="004255D9" w:rsidRPr="00CB2DD8" w:rsidRDefault="006733FC" w:rsidP="00DE45DF">
      <w:pPr>
        <w:numPr>
          <w:ilvl w:val="0"/>
          <w:numId w:val="9"/>
        </w:numPr>
        <w:tabs>
          <w:tab w:val="left" w:pos="567"/>
        </w:tabs>
        <w:spacing w:after="120" w:line="240" w:lineRule="auto"/>
        <w:ind w:left="851" w:hanging="567"/>
        <w:jc w:val="both"/>
        <w:rPr>
          <w:rFonts w:eastAsia="Cambria"/>
          <w:sz w:val="24"/>
          <w:szCs w:val="24"/>
        </w:rPr>
      </w:pPr>
      <w:r w:rsidRPr="00DD51CE">
        <w:rPr>
          <w:rFonts w:eastAsia="Calibri"/>
          <w:sz w:val="24"/>
          <w:szCs w:val="24"/>
        </w:rPr>
        <w:t>Ti, kteří spln</w:t>
      </w:r>
      <w:r w:rsidR="003458D3" w:rsidRPr="00DD51CE">
        <w:rPr>
          <w:rFonts w:eastAsia="Calibri"/>
          <w:sz w:val="24"/>
          <w:szCs w:val="24"/>
        </w:rPr>
        <w:t>ili</w:t>
      </w:r>
      <w:r w:rsidRPr="00DD51CE">
        <w:rPr>
          <w:rFonts w:eastAsia="Calibri"/>
          <w:sz w:val="24"/>
          <w:szCs w:val="24"/>
        </w:rPr>
        <w:t xml:space="preserve"> výše uvedené a v příslušném základním kmeni neabsolvovali</w:t>
      </w:r>
      <w:r w:rsidRPr="00DD51CE">
        <w:rPr>
          <w:rFonts w:eastAsia="Calibri"/>
          <w:sz w:val="24"/>
          <w:szCs w:val="24"/>
          <w:vertAlign w:val="superscript"/>
        </w:rPr>
        <w:footnoteReference w:id="4"/>
      </w:r>
      <w:r w:rsidRPr="00DD51CE">
        <w:rPr>
          <w:rFonts w:eastAsia="Calibri"/>
          <w:sz w:val="24"/>
          <w:szCs w:val="24"/>
        </w:rPr>
        <w:t xml:space="preserve"> teoretickou část vzdělávání, mohou teoretickou část vzdělávání zajišťovanou dle zákona č.</w:t>
      </w:r>
      <w:r w:rsidR="00BC5C4B" w:rsidRPr="00DD51CE">
        <w:rPr>
          <w:rFonts w:eastAsia="Calibri"/>
          <w:sz w:val="24"/>
          <w:szCs w:val="24"/>
        </w:rPr>
        <w:t xml:space="preserve"> </w:t>
      </w:r>
      <w:r w:rsidRPr="00DD51CE">
        <w:rPr>
          <w:rFonts w:eastAsia="Calibri"/>
          <w:sz w:val="24"/>
          <w:szCs w:val="24"/>
        </w:rPr>
        <w:t>95/2004 Sb. pověřenými organizacemi absolvovat v rámci Projektu:</w:t>
      </w:r>
      <w:r w:rsidRPr="00DD51CE">
        <w:rPr>
          <w:rFonts w:eastAsia="Calibri"/>
          <w:sz w:val="24"/>
          <w:szCs w:val="24"/>
          <w:vertAlign w:val="superscript"/>
        </w:rPr>
        <w:footnoteReference w:id="5"/>
      </w:r>
      <w:r w:rsidRPr="00DD51CE">
        <w:rPr>
          <w:rFonts w:eastAsia="Calibri"/>
          <w:sz w:val="24"/>
          <w:szCs w:val="24"/>
        </w:rPr>
        <w:t xml:space="preserve"> </w:t>
      </w:r>
    </w:p>
    <w:p w14:paraId="3308E1C3" w14:textId="77777777" w:rsidR="00CB2DD8" w:rsidRPr="00DD51CE" w:rsidRDefault="00CB2DD8" w:rsidP="00CB2DD8">
      <w:pPr>
        <w:tabs>
          <w:tab w:val="left" w:pos="567"/>
        </w:tabs>
        <w:spacing w:after="120" w:line="240" w:lineRule="auto"/>
        <w:ind w:left="851"/>
        <w:jc w:val="both"/>
        <w:rPr>
          <w:rFonts w:eastAsia="Cambria"/>
          <w:sz w:val="24"/>
          <w:szCs w:val="24"/>
        </w:rPr>
      </w:pPr>
    </w:p>
    <w:tbl>
      <w:tblPr>
        <w:tblStyle w:val="a1"/>
        <w:tblW w:w="922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1951"/>
      </w:tblGrid>
      <w:tr w:rsidR="004255D9" w:rsidRPr="00DD51CE" w14:paraId="39DA8F41" w14:textId="77777777" w:rsidTr="007D39D1">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C0D78AB" w14:textId="77777777" w:rsidR="004255D9" w:rsidRPr="00DD51CE" w:rsidRDefault="006733FC" w:rsidP="00CB2DD8">
            <w:pPr>
              <w:keepNext/>
              <w:spacing w:after="120" w:line="240" w:lineRule="auto"/>
              <w:jc w:val="center"/>
              <w:rPr>
                <w:rFonts w:eastAsia="Calibri"/>
                <w:b/>
                <w:sz w:val="24"/>
                <w:szCs w:val="24"/>
              </w:rPr>
            </w:pPr>
            <w:r w:rsidRPr="00DD51CE">
              <w:rPr>
                <w:rFonts w:eastAsia="Calibri"/>
                <w:b/>
                <w:sz w:val="24"/>
                <w:szCs w:val="24"/>
              </w:rPr>
              <w:t>Klíčová aktivita v Projektu</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BDAF44B" w14:textId="77777777" w:rsidR="004255D9" w:rsidRPr="00DD51CE" w:rsidRDefault="006733FC" w:rsidP="00CB2DD8">
            <w:pPr>
              <w:keepNext/>
              <w:spacing w:after="120" w:line="240" w:lineRule="auto"/>
              <w:jc w:val="center"/>
              <w:rPr>
                <w:rFonts w:eastAsia="Cambria"/>
                <w:sz w:val="24"/>
                <w:szCs w:val="24"/>
              </w:rPr>
            </w:pPr>
            <w:r w:rsidRPr="00DD51CE">
              <w:rPr>
                <w:rFonts w:eastAsia="Calibri"/>
                <w:b/>
                <w:sz w:val="24"/>
                <w:szCs w:val="24"/>
              </w:rPr>
              <w:t>Časová dotace</w:t>
            </w:r>
          </w:p>
        </w:tc>
      </w:tr>
      <w:tr w:rsidR="004255D9" w:rsidRPr="00DD51CE" w14:paraId="0B5ACC6A" w14:textId="77777777" w:rsidTr="007D39D1">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0B67853" w14:textId="77777777" w:rsidR="004255D9" w:rsidRPr="00DD51CE" w:rsidRDefault="004255D9" w:rsidP="00DD51CE">
            <w:pPr>
              <w:spacing w:after="120" w:line="240" w:lineRule="auto"/>
              <w:rPr>
                <w:rFonts w:eastAsia="Cambria"/>
                <w:sz w:val="24"/>
                <w:szCs w:val="24"/>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332B51C" w14:textId="77777777" w:rsidR="004255D9" w:rsidRPr="00DD51CE" w:rsidRDefault="004255D9" w:rsidP="00DD51CE">
            <w:pPr>
              <w:spacing w:after="120" w:line="240" w:lineRule="auto"/>
              <w:rPr>
                <w:rFonts w:eastAsia="Cambria"/>
                <w:sz w:val="24"/>
                <w:szCs w:val="24"/>
              </w:rPr>
            </w:pPr>
          </w:p>
        </w:tc>
      </w:tr>
      <w:tr w:rsidR="004255D9" w:rsidRPr="00DD51CE" w14:paraId="0234130A" w14:textId="77777777" w:rsidTr="007D39D1">
        <w:trPr>
          <w:trHeight w:val="38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BECC" w14:textId="47388389"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 </w:t>
            </w:r>
            <w:r w:rsidR="00DD77DB" w:rsidRPr="00DD51CE">
              <w:rPr>
                <w:rFonts w:eastAsia="Calibri"/>
                <w:sz w:val="24"/>
                <w:szCs w:val="24"/>
              </w:rPr>
              <w:t>–</w:t>
            </w:r>
            <w:r w:rsidRPr="00DD51CE">
              <w:rPr>
                <w:rFonts w:eastAsia="Calibri"/>
                <w:sz w:val="24"/>
                <w:szCs w:val="24"/>
              </w:rPr>
              <w:t xml:space="preserve"> Lékařská první pomoc (kurz)</w:t>
            </w:r>
          </w:p>
        </w:tc>
        <w:tc>
          <w:tcPr>
            <w:tcW w:w="1951" w:type="dxa"/>
            <w:tcBorders>
              <w:bottom w:val="single" w:sz="4" w:space="0" w:color="000000"/>
              <w:right w:val="single" w:sz="4" w:space="0" w:color="000000"/>
            </w:tcBorders>
            <w:shd w:val="clear" w:color="auto" w:fill="F2F2F2"/>
            <w:vAlign w:val="center"/>
          </w:tcPr>
          <w:p w14:paraId="5B846C1A"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20 hod</w:t>
            </w:r>
          </w:p>
        </w:tc>
      </w:tr>
      <w:tr w:rsidR="004255D9" w:rsidRPr="00DD51CE" w14:paraId="1C2C934F" w14:textId="77777777" w:rsidTr="007D39D1">
        <w:trPr>
          <w:trHeight w:val="4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2832" w14:textId="4B2DB0F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KA2 </w:t>
            </w:r>
            <w:r w:rsidR="00DD77DB" w:rsidRPr="00DD51CE">
              <w:rPr>
                <w:rFonts w:eastAsia="Calibri"/>
                <w:sz w:val="24"/>
                <w:szCs w:val="24"/>
              </w:rPr>
              <w:t>–</w:t>
            </w:r>
            <w:r w:rsidRPr="00DD51CE">
              <w:rPr>
                <w:rFonts w:eastAsia="Calibri"/>
                <w:sz w:val="24"/>
                <w:szCs w:val="24"/>
              </w:rPr>
              <w:t xml:space="preserve"> Základy zdravotnické legislativy, etiky a komunikace (kurz)</w:t>
            </w:r>
          </w:p>
        </w:tc>
        <w:tc>
          <w:tcPr>
            <w:tcW w:w="1951" w:type="dxa"/>
            <w:tcBorders>
              <w:bottom w:val="single" w:sz="4" w:space="0" w:color="000000"/>
              <w:right w:val="single" w:sz="4" w:space="0" w:color="000000"/>
            </w:tcBorders>
            <w:shd w:val="clear" w:color="auto" w:fill="F2F2F2"/>
            <w:vAlign w:val="center"/>
          </w:tcPr>
          <w:p w14:paraId="66D1DD88"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12 hod</w:t>
            </w:r>
          </w:p>
        </w:tc>
      </w:tr>
      <w:tr w:rsidR="004255D9" w:rsidRPr="00DD51CE" w14:paraId="353501BD"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FC90" w14:textId="4F4DFC4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KA3 </w:t>
            </w:r>
            <w:r w:rsidR="00DD77DB" w:rsidRPr="00DD51CE">
              <w:rPr>
                <w:rFonts w:eastAsia="Calibri"/>
                <w:sz w:val="24"/>
                <w:szCs w:val="24"/>
              </w:rPr>
              <w:t>–</w:t>
            </w:r>
            <w:r w:rsidRPr="00DD51CE">
              <w:rPr>
                <w:rFonts w:eastAsia="Calibri"/>
                <w:sz w:val="24"/>
                <w:szCs w:val="24"/>
              </w:rPr>
              <w:t xml:space="preserve"> Prevence škodlivého užívání návykových látek</w:t>
            </w:r>
            <w:r w:rsidR="00BC5C4B" w:rsidRPr="00DD51CE">
              <w:rPr>
                <w:rFonts w:eastAsia="Calibri"/>
                <w:sz w:val="24"/>
                <w:szCs w:val="24"/>
              </w:rPr>
              <w:t xml:space="preserve"> </w:t>
            </w:r>
            <w:r w:rsidRPr="00DD51CE">
              <w:rPr>
                <w:rFonts w:eastAsia="Calibri"/>
                <w:sz w:val="24"/>
                <w:szCs w:val="24"/>
              </w:rPr>
              <w:t>a léčba závislostí (kurz)</w:t>
            </w:r>
          </w:p>
        </w:tc>
        <w:tc>
          <w:tcPr>
            <w:tcW w:w="1951" w:type="dxa"/>
            <w:tcBorders>
              <w:bottom w:val="single" w:sz="4" w:space="0" w:color="000000"/>
              <w:right w:val="single" w:sz="4" w:space="0" w:color="000000"/>
            </w:tcBorders>
            <w:shd w:val="clear" w:color="auto" w:fill="F2F2F2"/>
            <w:vAlign w:val="center"/>
          </w:tcPr>
          <w:p w14:paraId="4DB5095D"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4 hod</w:t>
            </w:r>
          </w:p>
        </w:tc>
      </w:tr>
      <w:tr w:rsidR="004255D9" w:rsidRPr="00DD51CE" w14:paraId="2A3DA1DA"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780A" w14:textId="748F593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KA4 </w:t>
            </w:r>
            <w:r w:rsidR="00DD77DB" w:rsidRPr="00DD51CE">
              <w:rPr>
                <w:rFonts w:eastAsia="Calibri"/>
                <w:sz w:val="24"/>
                <w:szCs w:val="24"/>
              </w:rPr>
              <w:t>–</w:t>
            </w:r>
            <w:r w:rsidRPr="00DD51CE">
              <w:rPr>
                <w:rFonts w:eastAsia="Calibri"/>
                <w:sz w:val="24"/>
                <w:szCs w:val="24"/>
              </w:rPr>
              <w:t xml:space="preserve"> Radiační ochrana (kurz)</w:t>
            </w:r>
          </w:p>
        </w:tc>
        <w:tc>
          <w:tcPr>
            <w:tcW w:w="1951" w:type="dxa"/>
            <w:tcBorders>
              <w:bottom w:val="single" w:sz="4" w:space="0" w:color="000000"/>
              <w:right w:val="single" w:sz="4" w:space="0" w:color="000000"/>
            </w:tcBorders>
            <w:shd w:val="clear" w:color="auto" w:fill="F2F2F2"/>
            <w:vAlign w:val="center"/>
          </w:tcPr>
          <w:p w14:paraId="3A5A034E"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4 hod</w:t>
            </w:r>
          </w:p>
        </w:tc>
      </w:tr>
      <w:tr w:rsidR="004255D9" w:rsidRPr="00DD51CE" w14:paraId="61125B4D"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EBDC" w14:textId="3AC2231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1951" w:type="dxa"/>
            <w:tcBorders>
              <w:bottom w:val="single" w:sz="4" w:space="0" w:color="000000"/>
              <w:right w:val="single" w:sz="4" w:space="0" w:color="000000"/>
            </w:tcBorders>
            <w:shd w:val="clear" w:color="auto" w:fill="F2F2F2"/>
            <w:vAlign w:val="center"/>
          </w:tcPr>
          <w:p w14:paraId="02430B3A" w14:textId="2EB0F56A"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4E5A8F54"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91C3" w14:textId="3DA5BCF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1951" w:type="dxa"/>
            <w:tcBorders>
              <w:bottom w:val="single" w:sz="4" w:space="0" w:color="000000"/>
              <w:right w:val="single" w:sz="4" w:space="0" w:color="000000"/>
            </w:tcBorders>
            <w:shd w:val="clear" w:color="auto" w:fill="F2F2F2"/>
            <w:vAlign w:val="center"/>
          </w:tcPr>
          <w:p w14:paraId="3FF5A8D3"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6F343635"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9D8" w14:textId="1266C62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1951" w:type="dxa"/>
            <w:tcBorders>
              <w:bottom w:val="single" w:sz="4" w:space="0" w:color="000000"/>
              <w:right w:val="single" w:sz="4" w:space="0" w:color="000000"/>
            </w:tcBorders>
            <w:shd w:val="clear" w:color="auto" w:fill="F2F2F2"/>
            <w:vAlign w:val="center"/>
          </w:tcPr>
          <w:p w14:paraId="4A385C28"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75038F90"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91A1" w14:textId="4C75885B"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1951" w:type="dxa"/>
            <w:tcBorders>
              <w:bottom w:val="single" w:sz="4" w:space="0" w:color="000000"/>
              <w:right w:val="single" w:sz="4" w:space="0" w:color="000000"/>
            </w:tcBorders>
            <w:shd w:val="clear" w:color="auto" w:fill="F2F2F2"/>
            <w:vAlign w:val="center"/>
          </w:tcPr>
          <w:p w14:paraId="33AFA96D"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2D29247B"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86C4" w14:textId="27B25F8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1951" w:type="dxa"/>
            <w:tcBorders>
              <w:bottom w:val="single" w:sz="4" w:space="0" w:color="000000"/>
              <w:right w:val="single" w:sz="4" w:space="0" w:color="000000"/>
            </w:tcBorders>
            <w:shd w:val="clear" w:color="auto" w:fill="F2F2F2"/>
            <w:vAlign w:val="center"/>
          </w:tcPr>
          <w:p w14:paraId="49E9E5FE"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26539484"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490B" w14:textId="4325C07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1951" w:type="dxa"/>
            <w:tcBorders>
              <w:bottom w:val="single" w:sz="4" w:space="0" w:color="000000"/>
              <w:right w:val="single" w:sz="4" w:space="0" w:color="000000"/>
            </w:tcBorders>
            <w:shd w:val="clear" w:color="auto" w:fill="auto"/>
            <w:vAlign w:val="center"/>
          </w:tcPr>
          <w:p w14:paraId="4823F3FA" w14:textId="2BEC0891"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18 měs</w:t>
            </w:r>
            <w:r w:rsidR="003458D3" w:rsidRPr="00DD51CE">
              <w:rPr>
                <w:rFonts w:eastAsia="Calibri"/>
                <w:sz w:val="24"/>
                <w:szCs w:val="24"/>
              </w:rPr>
              <w:t>íců</w:t>
            </w:r>
          </w:p>
        </w:tc>
      </w:tr>
      <w:tr w:rsidR="004255D9" w:rsidRPr="00DD51CE" w14:paraId="46111176"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457F" w14:textId="324D0EE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w:t>
            </w:r>
            <w:r w:rsidR="00DD77DB" w:rsidRPr="00DD51CE">
              <w:rPr>
                <w:rFonts w:eastAsia="Calibri"/>
                <w:sz w:val="24"/>
                <w:szCs w:val="24"/>
              </w:rPr>
              <w:t>–</w:t>
            </w:r>
            <w:r w:rsidRPr="00DD51CE">
              <w:rPr>
                <w:rFonts w:eastAsia="Calibri"/>
                <w:sz w:val="24"/>
                <w:szCs w:val="24"/>
              </w:rPr>
              <w:t xml:space="preserve"> pro lékaře se základním pediatrickým kmenem</w:t>
            </w:r>
          </w:p>
        </w:tc>
        <w:tc>
          <w:tcPr>
            <w:tcW w:w="1951" w:type="dxa"/>
            <w:tcBorders>
              <w:bottom w:val="single" w:sz="4" w:space="0" w:color="000000"/>
              <w:right w:val="single" w:sz="4" w:space="0" w:color="000000"/>
            </w:tcBorders>
            <w:shd w:val="clear" w:color="auto" w:fill="auto"/>
            <w:vAlign w:val="center"/>
          </w:tcPr>
          <w:p w14:paraId="00F80629" w14:textId="782D4AD4"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3458D3" w:rsidRPr="00DD51CE">
              <w:rPr>
                <w:rFonts w:eastAsia="Calibri"/>
                <w:sz w:val="24"/>
                <w:szCs w:val="24"/>
              </w:rPr>
              <w:t>íců</w:t>
            </w:r>
            <w:r w:rsidRPr="00DD51CE">
              <w:rPr>
                <w:rFonts w:eastAsia="Calibri"/>
                <w:sz w:val="24"/>
                <w:szCs w:val="24"/>
              </w:rPr>
              <w:t xml:space="preserve"> a 2 týd</w:t>
            </w:r>
            <w:r w:rsidR="003458D3" w:rsidRPr="00DD51CE">
              <w:rPr>
                <w:rFonts w:eastAsia="Calibri"/>
                <w:sz w:val="24"/>
                <w:szCs w:val="24"/>
              </w:rPr>
              <w:t>ny</w:t>
            </w:r>
          </w:p>
        </w:tc>
      </w:tr>
      <w:tr w:rsidR="004255D9" w:rsidRPr="00DD51CE" w14:paraId="1F9FBDAE"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A90C" w14:textId="6D753A8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Pediatrie (praxe) </w:t>
            </w:r>
            <w:r w:rsidR="00DD77DB" w:rsidRPr="00DD51CE">
              <w:rPr>
                <w:rFonts w:eastAsia="Calibri"/>
                <w:sz w:val="24"/>
                <w:szCs w:val="24"/>
              </w:rPr>
              <w:t>–</w:t>
            </w:r>
            <w:r w:rsidRPr="00DD51CE">
              <w:rPr>
                <w:rFonts w:eastAsia="Calibri"/>
                <w:sz w:val="24"/>
                <w:szCs w:val="24"/>
              </w:rPr>
              <w:t xml:space="preserve"> pro lékaře se základním neurologickým kmenem</w:t>
            </w:r>
          </w:p>
        </w:tc>
        <w:tc>
          <w:tcPr>
            <w:tcW w:w="1951" w:type="dxa"/>
            <w:tcBorders>
              <w:bottom w:val="single" w:sz="4" w:space="0" w:color="000000"/>
              <w:right w:val="single" w:sz="4" w:space="0" w:color="000000"/>
            </w:tcBorders>
            <w:shd w:val="clear" w:color="auto" w:fill="auto"/>
            <w:vAlign w:val="center"/>
          </w:tcPr>
          <w:p w14:paraId="477CF3BF" w14:textId="00CE2936"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3458D3" w:rsidRPr="00DD51CE">
              <w:rPr>
                <w:rFonts w:eastAsia="Calibri"/>
                <w:sz w:val="24"/>
                <w:szCs w:val="24"/>
              </w:rPr>
              <w:t>íců</w:t>
            </w:r>
            <w:r w:rsidRPr="00DD51CE">
              <w:rPr>
                <w:rFonts w:eastAsia="Calibri"/>
                <w:sz w:val="24"/>
                <w:szCs w:val="24"/>
              </w:rPr>
              <w:t xml:space="preserve"> a 2 týd</w:t>
            </w:r>
            <w:r w:rsidR="003458D3" w:rsidRPr="00DD51CE">
              <w:rPr>
                <w:rFonts w:eastAsia="Calibri"/>
                <w:sz w:val="24"/>
                <w:szCs w:val="24"/>
              </w:rPr>
              <w:t>ny</w:t>
            </w:r>
          </w:p>
        </w:tc>
      </w:tr>
      <w:tr w:rsidR="004255D9" w:rsidRPr="00DD51CE" w14:paraId="7A24A5D6"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8724" w14:textId="1011BCAC"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1951" w:type="dxa"/>
            <w:tcBorders>
              <w:bottom w:val="single" w:sz="4" w:space="0" w:color="000000"/>
              <w:right w:val="single" w:sz="4" w:space="0" w:color="000000"/>
            </w:tcBorders>
            <w:shd w:val="clear" w:color="auto" w:fill="auto"/>
            <w:vAlign w:val="center"/>
          </w:tcPr>
          <w:p w14:paraId="03193C22" w14:textId="774D6CF5"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2 týd</w:t>
            </w:r>
            <w:r w:rsidR="003458D3" w:rsidRPr="00DD51CE">
              <w:rPr>
                <w:rFonts w:eastAsia="Calibri"/>
                <w:sz w:val="24"/>
                <w:szCs w:val="24"/>
              </w:rPr>
              <w:t>ny</w:t>
            </w:r>
          </w:p>
        </w:tc>
      </w:tr>
      <w:tr w:rsidR="004255D9" w:rsidRPr="00DD51CE" w14:paraId="4F6EE108"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F981" w14:textId="2747A6A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1951" w:type="dxa"/>
            <w:tcBorders>
              <w:bottom w:val="single" w:sz="4" w:space="0" w:color="000000"/>
              <w:right w:val="single" w:sz="4" w:space="0" w:color="000000"/>
            </w:tcBorders>
            <w:shd w:val="clear" w:color="auto" w:fill="auto"/>
            <w:vAlign w:val="center"/>
          </w:tcPr>
          <w:p w14:paraId="3942B6E2"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není relevantní</w:t>
            </w:r>
          </w:p>
        </w:tc>
      </w:tr>
    </w:tbl>
    <w:p w14:paraId="6BBBBD14" w14:textId="77777777" w:rsidR="004255D9" w:rsidRPr="00DD51CE" w:rsidRDefault="004255D9" w:rsidP="00DD51CE">
      <w:pPr>
        <w:tabs>
          <w:tab w:val="left" w:pos="1134"/>
        </w:tabs>
        <w:spacing w:after="120" w:line="240" w:lineRule="auto"/>
        <w:ind w:left="1134"/>
        <w:jc w:val="both"/>
        <w:rPr>
          <w:rFonts w:eastAsia="Calibri"/>
          <w:sz w:val="24"/>
          <w:szCs w:val="24"/>
        </w:rPr>
      </w:pPr>
    </w:p>
    <w:p w14:paraId="043D0F65" w14:textId="573AC984" w:rsidR="004255D9" w:rsidRPr="00DD51CE" w:rsidRDefault="006733FC" w:rsidP="00DE45DF">
      <w:pPr>
        <w:numPr>
          <w:ilvl w:val="0"/>
          <w:numId w:val="12"/>
        </w:numPr>
        <w:spacing w:after="120" w:line="240" w:lineRule="auto"/>
        <w:ind w:left="851" w:hanging="567"/>
        <w:jc w:val="both"/>
        <w:rPr>
          <w:rFonts w:eastAsia="Cambria"/>
          <w:sz w:val="24"/>
          <w:szCs w:val="24"/>
        </w:rPr>
      </w:pPr>
      <w:r w:rsidRPr="00DD51CE">
        <w:rPr>
          <w:rFonts w:eastAsia="Calibri"/>
          <w:sz w:val="24"/>
          <w:szCs w:val="24"/>
        </w:rPr>
        <w:t xml:space="preserve">lékaři, kteří absolvovali vzdělávání v příslušném základním kmeni podle vyhlášky </w:t>
      </w:r>
      <w:r w:rsidR="00B00AED" w:rsidRPr="00DD51CE">
        <w:rPr>
          <w:rFonts w:eastAsia="Calibri"/>
          <w:sz w:val="24"/>
          <w:szCs w:val="24"/>
        </w:rPr>
        <w:t xml:space="preserve">č. 221/2018 Sb., </w:t>
      </w:r>
      <w:r w:rsidRPr="00DD51CE">
        <w:rPr>
          <w:rFonts w:eastAsia="Calibri"/>
          <w:sz w:val="24"/>
          <w:szCs w:val="24"/>
        </w:rPr>
        <w:t xml:space="preserve">o vzdělávání v základních kmenech lékařů, </w:t>
      </w:r>
      <w:r w:rsidR="003458D3" w:rsidRPr="00DD51CE">
        <w:rPr>
          <w:rFonts w:eastAsia="Calibri"/>
          <w:sz w:val="24"/>
          <w:szCs w:val="24"/>
        </w:rPr>
        <w:t xml:space="preserve">a </w:t>
      </w:r>
      <w:r w:rsidRPr="00DD51CE">
        <w:rPr>
          <w:rFonts w:eastAsia="Calibri"/>
          <w:sz w:val="24"/>
          <w:szCs w:val="24"/>
        </w:rPr>
        <w:t xml:space="preserve">před vstupem do Projektu </w:t>
      </w:r>
      <w:r w:rsidRPr="00DD51CE">
        <w:rPr>
          <w:rFonts w:eastAsia="Times New Roman"/>
          <w:sz w:val="24"/>
          <w:szCs w:val="24"/>
        </w:rPr>
        <w:t>úspěšně ukonči</w:t>
      </w:r>
      <w:r w:rsidR="003458D3" w:rsidRPr="00DD51CE">
        <w:rPr>
          <w:rFonts w:eastAsia="Times New Roman"/>
          <w:sz w:val="24"/>
          <w:szCs w:val="24"/>
        </w:rPr>
        <w:t xml:space="preserve">li </w:t>
      </w:r>
      <w:r w:rsidRPr="00DD51CE">
        <w:rPr>
          <w:rFonts w:eastAsia="Times New Roman"/>
          <w:sz w:val="24"/>
          <w:szCs w:val="24"/>
        </w:rPr>
        <w:t>vzdělávání v příslušném základním kmeni, tj. slož</w:t>
      </w:r>
      <w:r w:rsidR="003458D3" w:rsidRPr="00DD51CE">
        <w:rPr>
          <w:rFonts w:eastAsia="Times New Roman"/>
          <w:sz w:val="24"/>
          <w:szCs w:val="24"/>
        </w:rPr>
        <w:t>ili</w:t>
      </w:r>
      <w:r w:rsidRPr="00DD51CE">
        <w:rPr>
          <w:rFonts w:eastAsia="Times New Roman"/>
          <w:sz w:val="24"/>
          <w:szCs w:val="24"/>
        </w:rPr>
        <w:t xml:space="preserve"> zkoušku po ukončení vzdělávání v</w:t>
      </w:r>
      <w:r w:rsidR="003458D3" w:rsidRPr="00DD51CE">
        <w:rPr>
          <w:rFonts w:eastAsia="Times New Roman"/>
          <w:sz w:val="24"/>
          <w:szCs w:val="24"/>
        </w:rPr>
        <w:t> z</w:t>
      </w:r>
      <w:r w:rsidRPr="00DD51CE">
        <w:rPr>
          <w:rFonts w:eastAsia="Times New Roman"/>
          <w:sz w:val="24"/>
          <w:szCs w:val="24"/>
        </w:rPr>
        <w:t xml:space="preserve">ákladním kmeni. Složení zkoušky </w:t>
      </w:r>
      <w:r w:rsidR="003458D3" w:rsidRPr="00DD51CE">
        <w:rPr>
          <w:rFonts w:eastAsia="Times New Roman"/>
          <w:sz w:val="24"/>
          <w:szCs w:val="24"/>
        </w:rPr>
        <w:t>bylo doloženo</w:t>
      </w:r>
      <w:r w:rsidRPr="00DD51CE">
        <w:rPr>
          <w:rFonts w:eastAsia="Times New Roman"/>
          <w:sz w:val="24"/>
          <w:szCs w:val="24"/>
        </w:rPr>
        <w:t xml:space="preserve"> certifikátem o absolvování základního kmene</w:t>
      </w:r>
      <w:r w:rsidR="003458D3" w:rsidRPr="00DD51CE">
        <w:rPr>
          <w:rFonts w:eastAsia="Times New Roman"/>
          <w:sz w:val="24"/>
          <w:szCs w:val="24"/>
        </w:rPr>
        <w:t xml:space="preserve"> před vstupem do Projektu</w:t>
      </w:r>
      <w:r w:rsidRPr="00DD51CE">
        <w:rPr>
          <w:rFonts w:eastAsia="Times New Roman"/>
          <w:sz w:val="24"/>
          <w:szCs w:val="24"/>
        </w:rPr>
        <w:t>:</w:t>
      </w:r>
    </w:p>
    <w:tbl>
      <w:tblPr>
        <w:tblStyle w:val="a2"/>
        <w:tblW w:w="922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1951"/>
      </w:tblGrid>
      <w:tr w:rsidR="004255D9" w:rsidRPr="00DD51CE" w14:paraId="0F3DE92B" w14:textId="77777777" w:rsidTr="007D39D1">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048192A" w14:textId="77777777" w:rsidR="004255D9" w:rsidRPr="00DD51CE" w:rsidRDefault="006733FC" w:rsidP="00DD51CE">
            <w:pPr>
              <w:spacing w:after="120" w:line="240" w:lineRule="auto"/>
              <w:jc w:val="center"/>
              <w:rPr>
                <w:rFonts w:eastAsia="Calibri"/>
                <w:b/>
                <w:sz w:val="24"/>
                <w:szCs w:val="24"/>
              </w:rPr>
            </w:pPr>
            <w:r w:rsidRPr="00DD51CE">
              <w:rPr>
                <w:rFonts w:eastAsia="Calibri"/>
                <w:b/>
                <w:sz w:val="24"/>
                <w:szCs w:val="24"/>
              </w:rPr>
              <w:lastRenderedPageBreak/>
              <w:t>Klíčová aktivita v Projektu</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8FA23D8" w14:textId="77777777" w:rsidR="004255D9" w:rsidRPr="00DD51CE" w:rsidRDefault="006733FC" w:rsidP="00DD51CE">
            <w:pPr>
              <w:spacing w:after="120" w:line="240" w:lineRule="auto"/>
              <w:jc w:val="both"/>
              <w:rPr>
                <w:rFonts w:eastAsia="Cambria"/>
                <w:sz w:val="24"/>
                <w:szCs w:val="24"/>
              </w:rPr>
            </w:pPr>
            <w:r w:rsidRPr="00DD51CE">
              <w:rPr>
                <w:rFonts w:eastAsia="Calibri"/>
                <w:b/>
                <w:sz w:val="24"/>
                <w:szCs w:val="24"/>
              </w:rPr>
              <w:t>Časová dotace</w:t>
            </w:r>
          </w:p>
        </w:tc>
      </w:tr>
      <w:tr w:rsidR="004255D9" w:rsidRPr="00DD51CE" w14:paraId="6903EF84" w14:textId="77777777" w:rsidTr="007D39D1">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526C5FA" w14:textId="77777777" w:rsidR="004255D9" w:rsidRPr="00DD51CE" w:rsidRDefault="004255D9" w:rsidP="00DD51CE">
            <w:pPr>
              <w:spacing w:after="120" w:line="240" w:lineRule="auto"/>
              <w:rPr>
                <w:rFonts w:eastAsia="Cambria"/>
                <w:sz w:val="24"/>
                <w:szCs w:val="24"/>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B85D9DE" w14:textId="77777777" w:rsidR="004255D9" w:rsidRPr="00DD51CE" w:rsidRDefault="004255D9" w:rsidP="00DD51CE">
            <w:pPr>
              <w:spacing w:after="120" w:line="240" w:lineRule="auto"/>
              <w:rPr>
                <w:rFonts w:eastAsia="Cambria"/>
                <w:sz w:val="24"/>
                <w:szCs w:val="24"/>
              </w:rPr>
            </w:pPr>
          </w:p>
        </w:tc>
      </w:tr>
      <w:tr w:rsidR="004255D9" w:rsidRPr="00DD51CE" w14:paraId="56B50A4B"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7AEF" w14:textId="13E24F1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1951" w:type="dxa"/>
            <w:tcBorders>
              <w:bottom w:val="single" w:sz="4" w:space="0" w:color="000000"/>
              <w:right w:val="single" w:sz="4" w:space="0" w:color="000000"/>
            </w:tcBorders>
            <w:shd w:val="clear" w:color="auto" w:fill="F2F2F2"/>
            <w:vAlign w:val="center"/>
          </w:tcPr>
          <w:p w14:paraId="7B6116CF" w14:textId="25CF383C"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31F7014F"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CC43" w14:textId="0CD99DB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1951" w:type="dxa"/>
            <w:tcBorders>
              <w:bottom w:val="single" w:sz="4" w:space="0" w:color="000000"/>
              <w:right w:val="single" w:sz="4" w:space="0" w:color="000000"/>
            </w:tcBorders>
            <w:shd w:val="clear" w:color="auto" w:fill="F2F2F2"/>
            <w:vAlign w:val="center"/>
          </w:tcPr>
          <w:p w14:paraId="3BA1318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193AFEE7"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FCAD" w14:textId="23DB53F5"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1951" w:type="dxa"/>
            <w:tcBorders>
              <w:bottom w:val="single" w:sz="4" w:space="0" w:color="000000"/>
              <w:right w:val="single" w:sz="4" w:space="0" w:color="000000"/>
            </w:tcBorders>
            <w:shd w:val="clear" w:color="auto" w:fill="F2F2F2"/>
            <w:vAlign w:val="center"/>
          </w:tcPr>
          <w:p w14:paraId="705F75E6"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0349C1E9"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B19F" w14:textId="565A7E8A"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1951" w:type="dxa"/>
            <w:tcBorders>
              <w:bottom w:val="single" w:sz="4" w:space="0" w:color="000000"/>
              <w:right w:val="single" w:sz="4" w:space="0" w:color="000000"/>
            </w:tcBorders>
            <w:shd w:val="clear" w:color="auto" w:fill="F2F2F2"/>
            <w:vAlign w:val="center"/>
          </w:tcPr>
          <w:p w14:paraId="6417E219"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1688D9C5"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BF8B" w14:textId="0F12946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1951" w:type="dxa"/>
            <w:tcBorders>
              <w:bottom w:val="single" w:sz="4" w:space="0" w:color="000000"/>
              <w:right w:val="single" w:sz="4" w:space="0" w:color="000000"/>
            </w:tcBorders>
            <w:shd w:val="clear" w:color="auto" w:fill="F2F2F2"/>
            <w:vAlign w:val="center"/>
          </w:tcPr>
          <w:p w14:paraId="14E0FE4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00BB8E70"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0F78" w14:textId="225D940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1951" w:type="dxa"/>
            <w:tcBorders>
              <w:bottom w:val="single" w:sz="4" w:space="0" w:color="000000"/>
              <w:right w:val="single" w:sz="4" w:space="0" w:color="000000"/>
            </w:tcBorders>
            <w:shd w:val="clear" w:color="auto" w:fill="auto"/>
            <w:vAlign w:val="center"/>
          </w:tcPr>
          <w:p w14:paraId="5EB92B36" w14:textId="6237FD81"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18 měs</w:t>
            </w:r>
            <w:r w:rsidR="00E27C7B">
              <w:rPr>
                <w:rFonts w:eastAsia="Calibri"/>
                <w:sz w:val="24"/>
                <w:szCs w:val="24"/>
              </w:rPr>
              <w:t>íců</w:t>
            </w:r>
          </w:p>
        </w:tc>
      </w:tr>
      <w:tr w:rsidR="004255D9" w:rsidRPr="00DD51CE" w14:paraId="16150BE1" w14:textId="77777777" w:rsidTr="007D39D1">
        <w:trPr>
          <w:trHeight w:val="40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40DAB" w14:textId="0094499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w:t>
            </w:r>
            <w:r w:rsidR="00DD77DB" w:rsidRPr="00DD51CE">
              <w:rPr>
                <w:rFonts w:eastAsia="Calibri"/>
                <w:sz w:val="24"/>
                <w:szCs w:val="24"/>
              </w:rPr>
              <w:t>–</w:t>
            </w:r>
            <w:r w:rsidRPr="00DD51CE">
              <w:rPr>
                <w:rFonts w:eastAsia="Calibri"/>
                <w:sz w:val="24"/>
                <w:szCs w:val="24"/>
              </w:rPr>
              <w:t xml:space="preserve"> pro lékaře se základním pediatrickým kmenem</w:t>
            </w:r>
          </w:p>
        </w:tc>
        <w:tc>
          <w:tcPr>
            <w:tcW w:w="1951" w:type="dxa"/>
            <w:tcBorders>
              <w:bottom w:val="single" w:sz="4" w:space="0" w:color="000000"/>
              <w:right w:val="single" w:sz="4" w:space="0" w:color="000000"/>
            </w:tcBorders>
            <w:shd w:val="clear" w:color="auto" w:fill="auto"/>
            <w:vAlign w:val="center"/>
          </w:tcPr>
          <w:p w14:paraId="519D2EB1" w14:textId="5D9682ED"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E27C7B">
              <w:rPr>
                <w:rFonts w:eastAsia="Calibri"/>
                <w:sz w:val="24"/>
                <w:szCs w:val="24"/>
              </w:rPr>
              <w:t>íců</w:t>
            </w:r>
            <w:r w:rsidRPr="00DD51CE">
              <w:rPr>
                <w:rFonts w:eastAsia="Calibri"/>
                <w:sz w:val="24"/>
                <w:szCs w:val="24"/>
              </w:rPr>
              <w:t xml:space="preserve"> a 2 tý</w:t>
            </w:r>
            <w:r w:rsidR="00E27C7B">
              <w:rPr>
                <w:rFonts w:eastAsia="Calibri"/>
                <w:sz w:val="24"/>
                <w:szCs w:val="24"/>
              </w:rPr>
              <w:t>dny</w:t>
            </w:r>
          </w:p>
        </w:tc>
      </w:tr>
      <w:tr w:rsidR="004255D9" w:rsidRPr="00DD51CE" w14:paraId="69B7DE86"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6678" w14:textId="1E40D9D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Pediatrie (praxe) </w:t>
            </w:r>
            <w:r w:rsidR="00DD77DB" w:rsidRPr="00DD51CE">
              <w:rPr>
                <w:rFonts w:eastAsia="Calibri"/>
                <w:sz w:val="24"/>
                <w:szCs w:val="24"/>
              </w:rPr>
              <w:t>–</w:t>
            </w:r>
            <w:r w:rsidRPr="00DD51CE">
              <w:rPr>
                <w:rFonts w:eastAsia="Calibri"/>
                <w:sz w:val="24"/>
                <w:szCs w:val="24"/>
              </w:rPr>
              <w:t xml:space="preserve"> pro lékaře se základním neurologickým kmenem</w:t>
            </w:r>
          </w:p>
        </w:tc>
        <w:tc>
          <w:tcPr>
            <w:tcW w:w="1951" w:type="dxa"/>
            <w:tcBorders>
              <w:bottom w:val="single" w:sz="4" w:space="0" w:color="000000"/>
              <w:right w:val="single" w:sz="4" w:space="0" w:color="000000"/>
            </w:tcBorders>
            <w:shd w:val="clear" w:color="auto" w:fill="auto"/>
            <w:vAlign w:val="center"/>
          </w:tcPr>
          <w:p w14:paraId="72E8D81E" w14:textId="37F4402E"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E27C7B">
              <w:rPr>
                <w:rFonts w:eastAsia="Calibri"/>
                <w:sz w:val="24"/>
                <w:szCs w:val="24"/>
              </w:rPr>
              <w:t>íců</w:t>
            </w:r>
            <w:r w:rsidRPr="00DD51CE">
              <w:rPr>
                <w:rFonts w:eastAsia="Calibri"/>
                <w:sz w:val="24"/>
                <w:szCs w:val="24"/>
              </w:rPr>
              <w:t xml:space="preserve"> a 2 týd</w:t>
            </w:r>
            <w:r w:rsidR="00E27C7B">
              <w:rPr>
                <w:rFonts w:eastAsia="Calibri"/>
                <w:sz w:val="24"/>
                <w:szCs w:val="24"/>
              </w:rPr>
              <w:t>ny</w:t>
            </w:r>
          </w:p>
        </w:tc>
      </w:tr>
      <w:tr w:rsidR="004255D9" w:rsidRPr="00DD51CE" w14:paraId="36BF067E"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9C9C" w14:textId="5532BC1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1951" w:type="dxa"/>
            <w:tcBorders>
              <w:bottom w:val="single" w:sz="4" w:space="0" w:color="000000"/>
              <w:right w:val="single" w:sz="4" w:space="0" w:color="000000"/>
            </w:tcBorders>
            <w:shd w:val="clear" w:color="auto" w:fill="auto"/>
            <w:vAlign w:val="center"/>
          </w:tcPr>
          <w:p w14:paraId="3CE4F606" w14:textId="5ED657EE" w:rsidR="004255D9" w:rsidRPr="00DD51CE" w:rsidRDefault="006733FC" w:rsidP="00DD51CE">
            <w:pPr>
              <w:spacing w:after="120" w:line="240" w:lineRule="auto"/>
              <w:jc w:val="center"/>
              <w:rPr>
                <w:rFonts w:eastAsia="Calibri"/>
                <w:sz w:val="24"/>
                <w:szCs w:val="24"/>
              </w:rPr>
            </w:pPr>
            <w:r w:rsidRPr="00DD51CE">
              <w:rPr>
                <w:rFonts w:eastAsia="Calibri"/>
                <w:sz w:val="24"/>
                <w:szCs w:val="24"/>
              </w:rPr>
              <w:t xml:space="preserve"> max. 2 týd</w:t>
            </w:r>
            <w:r w:rsidR="00E27C7B">
              <w:rPr>
                <w:rFonts w:eastAsia="Calibri"/>
                <w:sz w:val="24"/>
                <w:szCs w:val="24"/>
              </w:rPr>
              <w:t>ny</w:t>
            </w:r>
          </w:p>
        </w:tc>
      </w:tr>
      <w:tr w:rsidR="004255D9" w:rsidRPr="00DD51CE" w14:paraId="25E15A08"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E018" w14:textId="2022241A"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1951" w:type="dxa"/>
            <w:tcBorders>
              <w:bottom w:val="single" w:sz="4" w:space="0" w:color="000000"/>
              <w:right w:val="single" w:sz="4" w:space="0" w:color="000000"/>
            </w:tcBorders>
            <w:shd w:val="clear" w:color="auto" w:fill="auto"/>
            <w:vAlign w:val="center"/>
          </w:tcPr>
          <w:p w14:paraId="2769EE22"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není relevantní</w:t>
            </w:r>
          </w:p>
        </w:tc>
      </w:tr>
    </w:tbl>
    <w:p w14:paraId="5147A9EA" w14:textId="77777777" w:rsidR="004255D9" w:rsidRPr="00DD51CE" w:rsidRDefault="004255D9" w:rsidP="00DD51CE">
      <w:pPr>
        <w:pStyle w:val="Nzev"/>
        <w:spacing w:after="120"/>
        <w:rPr>
          <w:sz w:val="24"/>
          <w:szCs w:val="24"/>
        </w:rPr>
      </w:pPr>
      <w:bookmarkStart w:id="6" w:name="_1fob9te" w:colFirst="0" w:colLast="0"/>
      <w:bookmarkEnd w:id="6"/>
    </w:p>
    <w:p w14:paraId="454E5B03" w14:textId="45AB47F6" w:rsidR="004255D9" w:rsidRPr="00B930FE" w:rsidRDefault="006733FC" w:rsidP="00B930FE">
      <w:pPr>
        <w:pStyle w:val="Nadpis1"/>
      </w:pPr>
      <w:bookmarkStart w:id="7" w:name="_9vabs2p4m4tb" w:colFirst="0" w:colLast="0"/>
      <w:bookmarkStart w:id="8" w:name="_Toc32407789"/>
      <w:bookmarkEnd w:id="7"/>
      <w:r w:rsidRPr="00B930FE">
        <w:t>2. ZPŮSOBILÉ VÝDAJE</w:t>
      </w:r>
      <w:bookmarkEnd w:id="8"/>
    </w:p>
    <w:p w14:paraId="6A06563B" w14:textId="5B869974" w:rsidR="004255D9" w:rsidRPr="00DD51CE" w:rsidRDefault="006733FC" w:rsidP="00B930FE">
      <w:pPr>
        <w:pStyle w:val="Nadpis2"/>
      </w:pPr>
      <w:bookmarkStart w:id="9" w:name="_Toc32407790"/>
      <w:r w:rsidRPr="00DD51CE">
        <w:t xml:space="preserve">2.1 ZPŮSOBILÉ VÝDAJE </w:t>
      </w:r>
      <w:r w:rsidR="00DD77DB" w:rsidRPr="00DD51CE">
        <w:t>–</w:t>
      </w:r>
      <w:r w:rsidRPr="00DD51CE">
        <w:t xml:space="preserve"> OBECNÉ INFORMACE</w:t>
      </w:r>
      <w:bookmarkEnd w:id="9"/>
    </w:p>
    <w:p w14:paraId="465C010D" w14:textId="113A32BB"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Dotace je určena pouze na úhradu způsobilých výdajů</w:t>
      </w:r>
      <w:r w:rsidR="002264C3" w:rsidRPr="00DD51CE">
        <w:rPr>
          <w:rStyle w:val="Znakapoznpodarou"/>
          <w:sz w:val="24"/>
          <w:szCs w:val="24"/>
        </w:rPr>
        <w:footnoteReference w:id="6"/>
      </w:r>
      <w:r w:rsidRPr="00DD51CE">
        <w:rPr>
          <w:sz w:val="24"/>
          <w:szCs w:val="24"/>
        </w:rPr>
        <w:t xml:space="preserve"> při zajištění specializačního vzdělávání: </w:t>
      </w:r>
      <w:r w:rsidR="003458D3" w:rsidRPr="00DD51CE">
        <w:rPr>
          <w:sz w:val="24"/>
          <w:szCs w:val="24"/>
        </w:rPr>
        <w:t>f</w:t>
      </w:r>
      <w:r w:rsidRPr="00DD51CE">
        <w:rPr>
          <w:sz w:val="24"/>
          <w:szCs w:val="24"/>
        </w:rPr>
        <w:t xml:space="preserve">inancovány jsou neinvestiční výdaje, které přímo souvisejí s účastí </w:t>
      </w:r>
      <w:r w:rsidR="001E6A30">
        <w:rPr>
          <w:sz w:val="24"/>
          <w:szCs w:val="24"/>
        </w:rPr>
        <w:t>účastníka</w:t>
      </w:r>
      <w:r w:rsidRPr="00DD51CE">
        <w:rPr>
          <w:sz w:val="24"/>
          <w:szCs w:val="24"/>
        </w:rPr>
        <w:t xml:space="preserve"> na klíčových aktivitách na základě jeho </w:t>
      </w:r>
      <w:r w:rsidR="002264C3" w:rsidRPr="00DD51CE">
        <w:rPr>
          <w:sz w:val="24"/>
          <w:szCs w:val="24"/>
        </w:rPr>
        <w:t>IVP</w:t>
      </w:r>
      <w:r w:rsidRPr="00DD51CE">
        <w:rPr>
          <w:sz w:val="24"/>
          <w:szCs w:val="24"/>
        </w:rPr>
        <w:t xml:space="preserve"> dle Rozhodnutí</w:t>
      </w:r>
      <w:r w:rsidRPr="00DD51CE">
        <w:rPr>
          <w:sz w:val="24"/>
          <w:szCs w:val="24"/>
          <w:vertAlign w:val="superscript"/>
        </w:rPr>
        <w:footnoteReference w:id="7"/>
      </w:r>
      <w:r w:rsidRPr="00DD51CE">
        <w:rPr>
          <w:sz w:val="24"/>
          <w:szCs w:val="24"/>
        </w:rPr>
        <w:t xml:space="preserve"> a které je možné podle pravidel tohoto Metodického pokynu považovat za způsobilé.</w:t>
      </w:r>
    </w:p>
    <w:p w14:paraId="52A127D6" w14:textId="71025D5F"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Způsobilý výdaj je takový, který:</w:t>
      </w:r>
    </w:p>
    <w:p w14:paraId="0B822DF6" w14:textId="2FA44AAC" w:rsidR="004255D9" w:rsidRPr="00DD51CE" w:rsidRDefault="006733FC" w:rsidP="00DD51CE">
      <w:pPr>
        <w:spacing w:after="120" w:line="240" w:lineRule="auto"/>
        <w:ind w:left="1080" w:hanging="360"/>
        <w:jc w:val="both"/>
        <w:rPr>
          <w:sz w:val="24"/>
          <w:szCs w:val="24"/>
        </w:rPr>
      </w:pPr>
      <w:r w:rsidRPr="00DD51CE">
        <w:rPr>
          <w:sz w:val="24"/>
          <w:szCs w:val="24"/>
        </w:rPr>
        <w:t xml:space="preserve">a. </w:t>
      </w:r>
      <w:r w:rsidRPr="00DD51CE">
        <w:rPr>
          <w:sz w:val="24"/>
          <w:szCs w:val="24"/>
        </w:rPr>
        <w:tab/>
        <w:t>je v souladu s právními předpisy (tj. zejména legislativou EU a ČR)</w:t>
      </w:r>
      <w:r w:rsidR="002264C3" w:rsidRPr="00DD51CE">
        <w:rPr>
          <w:sz w:val="24"/>
          <w:szCs w:val="24"/>
        </w:rPr>
        <w:t>;</w:t>
      </w:r>
    </w:p>
    <w:p w14:paraId="1C29FB74" w14:textId="17C1337B" w:rsidR="004255D9" w:rsidRPr="00DD51CE" w:rsidRDefault="006733FC" w:rsidP="00DD51CE">
      <w:pPr>
        <w:spacing w:after="120" w:line="240" w:lineRule="auto"/>
        <w:ind w:left="1080" w:hanging="360"/>
        <w:jc w:val="both"/>
        <w:rPr>
          <w:sz w:val="24"/>
          <w:szCs w:val="24"/>
        </w:rPr>
      </w:pPr>
      <w:r w:rsidRPr="00DD51CE">
        <w:rPr>
          <w:sz w:val="24"/>
          <w:szCs w:val="24"/>
        </w:rPr>
        <w:t xml:space="preserve">b. </w:t>
      </w:r>
      <w:r w:rsidRPr="00DD51CE">
        <w:rPr>
          <w:sz w:val="24"/>
          <w:szCs w:val="24"/>
        </w:rPr>
        <w:tab/>
        <w:t xml:space="preserve">je v souladu s pravidly </w:t>
      </w:r>
      <w:r w:rsidR="002264C3" w:rsidRPr="00DD51CE">
        <w:rPr>
          <w:sz w:val="24"/>
          <w:szCs w:val="24"/>
        </w:rPr>
        <w:t xml:space="preserve">uvedenými v </w:t>
      </w:r>
      <w:r w:rsidR="00F77106" w:rsidRPr="00DD51CE">
        <w:rPr>
          <w:sz w:val="24"/>
          <w:szCs w:val="24"/>
        </w:rPr>
        <w:t>Metodi</w:t>
      </w:r>
      <w:r w:rsidR="002264C3" w:rsidRPr="00DD51CE">
        <w:rPr>
          <w:sz w:val="24"/>
          <w:szCs w:val="24"/>
        </w:rPr>
        <w:t>ce</w:t>
      </w:r>
      <w:r w:rsidRPr="00DD51CE">
        <w:rPr>
          <w:sz w:val="24"/>
          <w:szCs w:val="24"/>
        </w:rPr>
        <w:t xml:space="preserve"> a s</w:t>
      </w:r>
      <w:r w:rsidR="002264C3" w:rsidRPr="00DD51CE">
        <w:rPr>
          <w:sz w:val="24"/>
          <w:szCs w:val="24"/>
        </w:rPr>
        <w:t> </w:t>
      </w:r>
      <w:r w:rsidRPr="00DD51CE">
        <w:rPr>
          <w:sz w:val="24"/>
          <w:szCs w:val="24"/>
        </w:rPr>
        <w:t>Rozhodnutím</w:t>
      </w:r>
      <w:r w:rsidR="002264C3" w:rsidRPr="00DD51CE">
        <w:rPr>
          <w:sz w:val="24"/>
          <w:szCs w:val="24"/>
        </w:rPr>
        <w:t>;</w:t>
      </w:r>
    </w:p>
    <w:p w14:paraId="11A056C1" w14:textId="6ED40CE1" w:rsidR="004255D9" w:rsidRPr="00DD51CE" w:rsidRDefault="006733FC" w:rsidP="00DD51CE">
      <w:pPr>
        <w:spacing w:after="120" w:line="240" w:lineRule="auto"/>
        <w:ind w:left="1080" w:hanging="360"/>
        <w:jc w:val="both"/>
        <w:rPr>
          <w:sz w:val="24"/>
          <w:szCs w:val="24"/>
        </w:rPr>
      </w:pPr>
      <w:r w:rsidRPr="00DD51CE">
        <w:rPr>
          <w:sz w:val="24"/>
          <w:szCs w:val="24"/>
        </w:rPr>
        <w:t xml:space="preserve">c. </w:t>
      </w:r>
      <w:r w:rsidRPr="00DD51CE">
        <w:rPr>
          <w:sz w:val="24"/>
          <w:szCs w:val="24"/>
        </w:rPr>
        <w:tab/>
        <w:t>je přiměřený (viz níže)</w:t>
      </w:r>
      <w:r w:rsidR="002264C3" w:rsidRPr="00DD51CE">
        <w:rPr>
          <w:sz w:val="24"/>
          <w:szCs w:val="24"/>
        </w:rPr>
        <w:t>;</w:t>
      </w:r>
    </w:p>
    <w:p w14:paraId="4F2CD3C6" w14:textId="5F435C1E" w:rsidR="004255D9" w:rsidRPr="00DD51CE" w:rsidRDefault="006733FC" w:rsidP="00DD51CE">
      <w:pPr>
        <w:spacing w:after="120" w:line="240" w:lineRule="auto"/>
        <w:ind w:left="1080" w:hanging="360"/>
        <w:jc w:val="both"/>
        <w:rPr>
          <w:sz w:val="24"/>
          <w:szCs w:val="24"/>
        </w:rPr>
      </w:pPr>
      <w:r w:rsidRPr="00DD51CE">
        <w:rPr>
          <w:sz w:val="24"/>
          <w:szCs w:val="24"/>
        </w:rPr>
        <w:t xml:space="preserve">d. </w:t>
      </w:r>
      <w:r w:rsidRPr="00DD51CE">
        <w:rPr>
          <w:sz w:val="24"/>
          <w:szCs w:val="24"/>
        </w:rPr>
        <w:tab/>
        <w:t>vznikl ve lhůtě stanovené v Rozhodnutí</w:t>
      </w:r>
      <w:r w:rsidRPr="00DD51CE">
        <w:rPr>
          <w:sz w:val="24"/>
          <w:szCs w:val="24"/>
          <w:vertAlign w:val="superscript"/>
        </w:rPr>
        <w:footnoteReference w:id="8"/>
      </w:r>
      <w:r w:rsidR="002264C3" w:rsidRPr="00DD51CE">
        <w:rPr>
          <w:sz w:val="24"/>
          <w:szCs w:val="24"/>
        </w:rPr>
        <w:t>;</w:t>
      </w:r>
    </w:p>
    <w:p w14:paraId="05C52C79" w14:textId="4BB5F272" w:rsidR="004255D9" w:rsidRPr="00DD51CE" w:rsidRDefault="006733FC" w:rsidP="00DD51CE">
      <w:pPr>
        <w:spacing w:after="120" w:line="240" w:lineRule="auto"/>
        <w:ind w:left="1080" w:hanging="360"/>
        <w:jc w:val="both"/>
        <w:rPr>
          <w:sz w:val="24"/>
          <w:szCs w:val="24"/>
        </w:rPr>
      </w:pPr>
      <w:r w:rsidRPr="00DD51CE">
        <w:rPr>
          <w:sz w:val="24"/>
          <w:szCs w:val="24"/>
        </w:rPr>
        <w:lastRenderedPageBreak/>
        <w:t xml:space="preserve">e. </w:t>
      </w:r>
      <w:r w:rsidRPr="00DD51CE">
        <w:rPr>
          <w:sz w:val="24"/>
          <w:szCs w:val="24"/>
        </w:rPr>
        <w:tab/>
        <w:t>je řádně identifikovatelný, prokazatelný a doložiteln</w:t>
      </w:r>
      <w:r w:rsidR="002264C3" w:rsidRPr="00DD51CE">
        <w:rPr>
          <w:sz w:val="24"/>
          <w:szCs w:val="24"/>
        </w:rPr>
        <w:t>ý;</w:t>
      </w:r>
    </w:p>
    <w:p w14:paraId="7847D3C1" w14:textId="2D222D2B" w:rsidR="004255D9" w:rsidRPr="00DD51CE" w:rsidRDefault="006733FC" w:rsidP="00DD51CE">
      <w:pPr>
        <w:spacing w:after="120" w:line="240" w:lineRule="auto"/>
        <w:ind w:left="1080" w:hanging="360"/>
        <w:jc w:val="both"/>
        <w:rPr>
          <w:sz w:val="24"/>
          <w:szCs w:val="24"/>
        </w:rPr>
      </w:pPr>
      <w:r w:rsidRPr="00DD51CE">
        <w:rPr>
          <w:sz w:val="24"/>
          <w:szCs w:val="24"/>
        </w:rPr>
        <w:t xml:space="preserve">f. </w:t>
      </w:r>
      <w:r w:rsidRPr="00DD51CE">
        <w:rPr>
          <w:sz w:val="24"/>
          <w:szCs w:val="24"/>
        </w:rPr>
        <w:tab/>
        <w:t xml:space="preserve">je nezbytný pro dosažení účelu </w:t>
      </w:r>
      <w:r w:rsidR="00535A03">
        <w:rPr>
          <w:sz w:val="24"/>
          <w:szCs w:val="24"/>
        </w:rPr>
        <w:t>dotace</w:t>
      </w:r>
      <w:r w:rsidRPr="00DD51CE">
        <w:rPr>
          <w:sz w:val="24"/>
          <w:szCs w:val="24"/>
        </w:rPr>
        <w:t>.</w:t>
      </w:r>
    </w:p>
    <w:p w14:paraId="03F0A101" w14:textId="66701580"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Z poskytnuté dotace Příjemce nesmí hradit tyto výdaje (tzv. nezpůsobilé výdaje):</w:t>
      </w:r>
    </w:p>
    <w:p w14:paraId="415D5185" w14:textId="77777777" w:rsidR="004255D9" w:rsidRPr="00DD51CE" w:rsidRDefault="006733FC" w:rsidP="00DD51CE">
      <w:pPr>
        <w:spacing w:after="120" w:line="240" w:lineRule="auto"/>
        <w:ind w:left="1080" w:hanging="360"/>
        <w:jc w:val="both"/>
        <w:rPr>
          <w:sz w:val="24"/>
          <w:szCs w:val="24"/>
        </w:rPr>
      </w:pPr>
      <w:r w:rsidRPr="00DD51CE">
        <w:rPr>
          <w:sz w:val="24"/>
          <w:szCs w:val="24"/>
        </w:rPr>
        <w:t xml:space="preserve">a. </w:t>
      </w:r>
      <w:r w:rsidRPr="00DD51CE">
        <w:rPr>
          <w:sz w:val="24"/>
          <w:szCs w:val="24"/>
        </w:rPr>
        <w:tab/>
        <w:t>náklady financované z jiných veřejných zdrojů;</w:t>
      </w:r>
    </w:p>
    <w:p w14:paraId="340D30F6" w14:textId="77777777" w:rsidR="004255D9" w:rsidRPr="00DD51CE" w:rsidRDefault="006733FC" w:rsidP="00DD51CE">
      <w:pPr>
        <w:spacing w:after="120" w:line="240" w:lineRule="auto"/>
        <w:ind w:left="1080" w:hanging="360"/>
        <w:jc w:val="both"/>
        <w:rPr>
          <w:sz w:val="24"/>
          <w:szCs w:val="24"/>
        </w:rPr>
      </w:pPr>
      <w:r w:rsidRPr="00DD51CE">
        <w:rPr>
          <w:sz w:val="24"/>
          <w:szCs w:val="24"/>
        </w:rPr>
        <w:t xml:space="preserve">b. </w:t>
      </w:r>
      <w:r w:rsidRPr="00DD51CE">
        <w:rPr>
          <w:sz w:val="24"/>
          <w:szCs w:val="24"/>
        </w:rPr>
        <w:tab/>
        <w:t>náklady financované z darů;</w:t>
      </w:r>
    </w:p>
    <w:p w14:paraId="791C1871" w14:textId="77777777" w:rsidR="004255D9" w:rsidRPr="00DD51CE" w:rsidRDefault="006733FC" w:rsidP="00DD51CE">
      <w:pPr>
        <w:spacing w:after="120" w:line="240" w:lineRule="auto"/>
        <w:ind w:left="1080" w:hanging="360"/>
        <w:jc w:val="both"/>
        <w:rPr>
          <w:sz w:val="24"/>
          <w:szCs w:val="24"/>
        </w:rPr>
      </w:pPr>
      <w:r w:rsidRPr="00DD51CE">
        <w:rPr>
          <w:sz w:val="24"/>
          <w:szCs w:val="24"/>
        </w:rPr>
        <w:t xml:space="preserve">c. </w:t>
      </w:r>
      <w:r w:rsidRPr="00DD51CE">
        <w:rPr>
          <w:sz w:val="24"/>
          <w:szCs w:val="24"/>
        </w:rPr>
        <w:tab/>
        <w:t>odstupné dle zákoníku práce;</w:t>
      </w:r>
    </w:p>
    <w:p w14:paraId="45E2A767" w14:textId="66DBB23F" w:rsidR="004255D9" w:rsidRPr="00DD51CE" w:rsidRDefault="006733FC" w:rsidP="00DD51CE">
      <w:pPr>
        <w:spacing w:after="120" w:line="240" w:lineRule="auto"/>
        <w:ind w:left="1080" w:hanging="360"/>
        <w:jc w:val="both"/>
        <w:rPr>
          <w:sz w:val="24"/>
          <w:szCs w:val="24"/>
        </w:rPr>
      </w:pPr>
      <w:r w:rsidRPr="00DD51CE">
        <w:rPr>
          <w:sz w:val="24"/>
          <w:szCs w:val="24"/>
        </w:rPr>
        <w:t xml:space="preserve">d. </w:t>
      </w:r>
      <w:r w:rsidRPr="00DD51CE">
        <w:rPr>
          <w:sz w:val="24"/>
          <w:szCs w:val="24"/>
        </w:rPr>
        <w:tab/>
        <w:t>odpisy</w:t>
      </w:r>
      <w:r w:rsidR="002264C3" w:rsidRPr="00DD51CE">
        <w:rPr>
          <w:sz w:val="24"/>
          <w:szCs w:val="24"/>
        </w:rPr>
        <w:t>;</w:t>
      </w:r>
    </w:p>
    <w:p w14:paraId="233CFA1A" w14:textId="155206B6" w:rsidR="004255D9" w:rsidRPr="00DD51CE" w:rsidRDefault="006733FC" w:rsidP="00DD51CE">
      <w:pPr>
        <w:spacing w:after="120" w:line="240" w:lineRule="auto"/>
        <w:ind w:left="1080" w:hanging="360"/>
        <w:jc w:val="both"/>
        <w:rPr>
          <w:sz w:val="24"/>
          <w:szCs w:val="24"/>
        </w:rPr>
      </w:pPr>
      <w:r w:rsidRPr="00DD51CE">
        <w:rPr>
          <w:sz w:val="24"/>
          <w:szCs w:val="24"/>
        </w:rPr>
        <w:t>e.</w:t>
      </w:r>
      <w:r w:rsidRPr="00DD51CE">
        <w:rPr>
          <w:sz w:val="24"/>
          <w:szCs w:val="24"/>
        </w:rPr>
        <w:tab/>
        <w:t>investiční výdaje</w:t>
      </w:r>
      <w:r w:rsidR="002264C3" w:rsidRPr="00DD51CE">
        <w:rPr>
          <w:sz w:val="24"/>
          <w:szCs w:val="24"/>
        </w:rPr>
        <w:t>;</w:t>
      </w:r>
    </w:p>
    <w:p w14:paraId="75538F8F" w14:textId="74043C8E" w:rsidR="004255D9" w:rsidRPr="00DD51CE" w:rsidRDefault="006733FC" w:rsidP="00667856">
      <w:pPr>
        <w:keepLines/>
        <w:spacing w:after="120" w:line="240" w:lineRule="auto"/>
        <w:ind w:left="1077" w:hanging="357"/>
        <w:jc w:val="both"/>
        <w:rPr>
          <w:sz w:val="24"/>
          <w:szCs w:val="24"/>
        </w:rPr>
      </w:pPr>
      <w:r w:rsidRPr="00DD51CE">
        <w:rPr>
          <w:sz w:val="24"/>
          <w:szCs w:val="24"/>
        </w:rPr>
        <w:t>f.</w:t>
      </w:r>
      <w:r w:rsidRPr="00DD51CE">
        <w:rPr>
          <w:sz w:val="24"/>
          <w:szCs w:val="24"/>
        </w:rPr>
        <w:tab/>
        <w:t xml:space="preserve">jakékoliv jiné výdaje, než způsobilé výdaje uvedené v kapitole </w:t>
      </w:r>
      <w:r w:rsidR="002264C3" w:rsidRPr="00DD51CE">
        <w:rPr>
          <w:sz w:val="24"/>
          <w:szCs w:val="24"/>
        </w:rPr>
        <w:t>2.3 tohoto Metodického pokynu</w:t>
      </w:r>
      <w:r w:rsidRPr="00DD51CE">
        <w:rPr>
          <w:sz w:val="24"/>
          <w:szCs w:val="24"/>
        </w:rPr>
        <w:t>.</w:t>
      </w:r>
    </w:p>
    <w:p w14:paraId="21B7522B" w14:textId="1EDADAF8"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Výdaje musí být přiměřené. Přiměřeností výdaje se rozumí dosažení optimálního vztahu mezi jeho hospodárností, účelností a efektivností. Hospodárností je takové použití veřejných prostředků k zajištění stanovených úkolů s co nejnižším vynaložením těchto prostředků, a to při dodržení odpovídající kvality plněných úkolů. Efektivností je takové použití veřejných prostředků, kterým se dosáhne nejvýše možného rozsahu, kvality a přínosu plněných úkolů ve srovnání s</w:t>
      </w:r>
      <w:r w:rsidR="00845DB5">
        <w:rPr>
          <w:sz w:val="24"/>
          <w:szCs w:val="24"/>
        </w:rPr>
        <w:t> </w:t>
      </w:r>
      <w:r w:rsidRPr="00DD51CE">
        <w:rPr>
          <w:sz w:val="24"/>
          <w:szCs w:val="24"/>
        </w:rPr>
        <w:t xml:space="preserve">objemem prostředků vynaložených na jejich plnění. Účelností se rozumí takové použití veřejných prostředků, které zajistí optimální míru dosažení cílů při plnění stanovených úkolů. Hospodárnost má vazbu na ceny obvyklé. </w:t>
      </w:r>
    </w:p>
    <w:p w14:paraId="10D800C8" w14:textId="6B476533" w:rsidR="004255D9" w:rsidRPr="00802192"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Způsobilými jsou ovšem pouze ty náklady, u nichž platí, že je s konečnou platností kryje Příjemce, tj. neexistuje u nich možnost, že by je jiný subjekt (</w:t>
      </w:r>
      <w:r w:rsidRPr="00802192">
        <w:rPr>
          <w:sz w:val="24"/>
          <w:szCs w:val="24"/>
        </w:rPr>
        <w:t xml:space="preserve">než MZ) Příjemci refundoval. </w:t>
      </w:r>
    </w:p>
    <w:p w14:paraId="49A2C53C" w14:textId="53E482BF" w:rsidR="004255D9" w:rsidRPr="00802192"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802192">
        <w:rPr>
          <w:sz w:val="24"/>
          <w:szCs w:val="24"/>
        </w:rPr>
        <w:t>Za účelem zabránění dvojímu financování je Příjemce povinen zajistit označení každého originálu účetního dokladu</w:t>
      </w:r>
      <w:r w:rsidRPr="00802192">
        <w:rPr>
          <w:sz w:val="24"/>
          <w:szCs w:val="24"/>
          <w:vertAlign w:val="superscript"/>
        </w:rPr>
        <w:footnoteReference w:id="9"/>
      </w:r>
      <w:r w:rsidRPr="00802192">
        <w:rPr>
          <w:sz w:val="24"/>
          <w:szCs w:val="24"/>
        </w:rPr>
        <w:t xml:space="preserve">, který dokládá způsobilý výdaj </w:t>
      </w:r>
      <w:r w:rsidR="00802192" w:rsidRPr="00802192">
        <w:rPr>
          <w:sz w:val="24"/>
          <w:szCs w:val="24"/>
        </w:rPr>
        <w:t>vztahující se k dotaci</w:t>
      </w:r>
      <w:r w:rsidRPr="00802192">
        <w:rPr>
          <w:sz w:val="24"/>
          <w:szCs w:val="24"/>
        </w:rPr>
        <w:t xml:space="preserve">, číslem Rozhodnutí. Označení může být provedeno vepsáním textu, razítkem apod. </w:t>
      </w:r>
    </w:p>
    <w:p w14:paraId="04755AB4" w14:textId="0ECDFEBB"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802192">
        <w:rPr>
          <w:sz w:val="24"/>
          <w:szCs w:val="24"/>
        </w:rPr>
        <w:t>Příjemce je povinen řádně účtovat o veškerých příjmech a výdajích.</w:t>
      </w:r>
      <w:r w:rsidRPr="00DD51CE">
        <w:rPr>
          <w:sz w:val="24"/>
          <w:szCs w:val="24"/>
        </w:rPr>
        <w:t xml:space="preserve"> Příjemce je povinen vést účetnictví v souladu se zákonem č. 563/1991 Sb., o účetnictví, ve znění pozdějších předpisů, a vést příjmy a výdaje s jednoznačnou vazbou na specializační vzdělávání, nebo je povinen vést pro specializační vzdělávání tzv. daňovou evidenci podle zákona č. 586/1992 Sb., o daních z příjmů, ve znění pozdějších předpisů, rozšířenou tak, aby příslušné doklady vztahující se k</w:t>
      </w:r>
      <w:r w:rsidR="00845DB5">
        <w:rPr>
          <w:sz w:val="24"/>
          <w:szCs w:val="24"/>
        </w:rPr>
        <w:t> </w:t>
      </w:r>
      <w:r w:rsidRPr="00DD51CE">
        <w:rPr>
          <w:sz w:val="24"/>
          <w:szCs w:val="24"/>
        </w:rPr>
        <w:t>specializačnímu vzdělávání splňovaly náležitosti účetního dokladu ve smyslu §</w:t>
      </w:r>
      <w:r w:rsidR="00667856">
        <w:rPr>
          <w:sz w:val="24"/>
          <w:szCs w:val="24"/>
        </w:rPr>
        <w:t> </w:t>
      </w:r>
      <w:r w:rsidRPr="00DD51CE">
        <w:rPr>
          <w:sz w:val="24"/>
          <w:szCs w:val="24"/>
        </w:rPr>
        <w:t>11 zákona č. 563/1991 Sb. (s</w:t>
      </w:r>
      <w:r w:rsidR="002264C3" w:rsidRPr="00DD51CE">
        <w:rPr>
          <w:sz w:val="24"/>
          <w:szCs w:val="24"/>
        </w:rPr>
        <w:t> </w:t>
      </w:r>
      <w:r w:rsidRPr="00DD51CE">
        <w:rPr>
          <w:sz w:val="24"/>
          <w:szCs w:val="24"/>
        </w:rPr>
        <w:t>výjimkou odst. 1 písm. f) zmíněného zákona) a</w:t>
      </w:r>
      <w:r w:rsidR="00667856">
        <w:rPr>
          <w:sz w:val="24"/>
          <w:szCs w:val="24"/>
        </w:rPr>
        <w:t> </w:t>
      </w:r>
      <w:r w:rsidRPr="00DD51CE">
        <w:rPr>
          <w:sz w:val="24"/>
          <w:szCs w:val="24"/>
        </w:rPr>
        <w:t>aby předmětné doklady byly správné, úplné, průkazné, srozumitelné, vedené v</w:t>
      </w:r>
      <w:r w:rsidR="00C22360">
        <w:rPr>
          <w:sz w:val="24"/>
          <w:szCs w:val="24"/>
        </w:rPr>
        <w:t> </w:t>
      </w:r>
      <w:r w:rsidRPr="00DD51CE">
        <w:rPr>
          <w:sz w:val="24"/>
          <w:szCs w:val="24"/>
        </w:rPr>
        <w:t>písemné formě chronologicky a</w:t>
      </w:r>
      <w:r w:rsidR="002264C3" w:rsidRPr="00DD51CE">
        <w:rPr>
          <w:sz w:val="24"/>
          <w:szCs w:val="24"/>
        </w:rPr>
        <w:t> </w:t>
      </w:r>
      <w:r w:rsidRPr="00DD51CE">
        <w:rPr>
          <w:sz w:val="24"/>
          <w:szCs w:val="24"/>
        </w:rPr>
        <w:t>způsobem zaručujícím jejich trvanlivost a aby uskutečněné příjmy a výdaje byly vedeny s</w:t>
      </w:r>
      <w:r w:rsidR="002264C3" w:rsidRPr="00DD51CE">
        <w:rPr>
          <w:sz w:val="24"/>
          <w:szCs w:val="24"/>
        </w:rPr>
        <w:t> </w:t>
      </w:r>
      <w:r w:rsidRPr="00DD51CE">
        <w:rPr>
          <w:sz w:val="24"/>
          <w:szCs w:val="24"/>
        </w:rPr>
        <w:t>jednoznačnou vazbou na specializační vzdělávání.</w:t>
      </w:r>
    </w:p>
    <w:p w14:paraId="25255EF1" w14:textId="15A2283E"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lastRenderedPageBreak/>
        <w:t xml:space="preserve">Uskutečněné výdaje jsou předkládány ke kontrole </w:t>
      </w:r>
      <w:r w:rsidR="0041553A">
        <w:rPr>
          <w:sz w:val="24"/>
          <w:szCs w:val="24"/>
        </w:rPr>
        <w:t>MZ</w:t>
      </w:r>
      <w:r w:rsidRPr="00DD51CE">
        <w:rPr>
          <w:sz w:val="24"/>
          <w:szCs w:val="24"/>
        </w:rPr>
        <w:t xml:space="preserve"> ve formě </w:t>
      </w:r>
      <w:r w:rsidR="002264C3" w:rsidRPr="00DD51CE">
        <w:rPr>
          <w:sz w:val="24"/>
          <w:szCs w:val="24"/>
        </w:rPr>
        <w:t>tabulky V</w:t>
      </w:r>
      <w:r w:rsidRPr="00DD51CE">
        <w:rPr>
          <w:sz w:val="24"/>
          <w:szCs w:val="24"/>
        </w:rPr>
        <w:t>yúčtování, která j</w:t>
      </w:r>
      <w:r w:rsidR="004A3E96">
        <w:rPr>
          <w:sz w:val="24"/>
          <w:szCs w:val="24"/>
        </w:rPr>
        <w:t>e</w:t>
      </w:r>
      <w:r w:rsidRPr="00DD51CE">
        <w:rPr>
          <w:sz w:val="24"/>
          <w:szCs w:val="24"/>
        </w:rPr>
        <w:t xml:space="preserve"> předkládána za každé monitorovací období.</w:t>
      </w:r>
    </w:p>
    <w:p w14:paraId="25B81C31" w14:textId="6D60D810"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V rámci kontroly </w:t>
      </w:r>
      <w:r w:rsidR="00667856">
        <w:rPr>
          <w:sz w:val="24"/>
          <w:szCs w:val="24"/>
        </w:rPr>
        <w:t>v</w:t>
      </w:r>
      <w:r w:rsidRPr="00DD51CE">
        <w:rPr>
          <w:sz w:val="24"/>
          <w:szCs w:val="24"/>
        </w:rPr>
        <w:t xml:space="preserve">yúčtování může </w:t>
      </w:r>
      <w:r w:rsidR="0041553A">
        <w:rPr>
          <w:sz w:val="24"/>
          <w:szCs w:val="24"/>
        </w:rPr>
        <w:t>MZ</w:t>
      </w:r>
      <w:r w:rsidRPr="00DD51CE">
        <w:rPr>
          <w:sz w:val="24"/>
          <w:szCs w:val="24"/>
        </w:rPr>
        <w:t xml:space="preserve"> postupovat v souladu s §14 f Rozpočtových pravidel. Při kontrole průběžného </w:t>
      </w:r>
      <w:r w:rsidR="00667856">
        <w:rPr>
          <w:sz w:val="24"/>
          <w:szCs w:val="24"/>
        </w:rPr>
        <w:t>v</w:t>
      </w:r>
      <w:r w:rsidRPr="00DD51CE">
        <w:rPr>
          <w:sz w:val="24"/>
          <w:szCs w:val="24"/>
        </w:rPr>
        <w:t xml:space="preserve">yúčtování může dojít k úpravě předložené tabulky </w:t>
      </w:r>
      <w:r w:rsidR="002264C3" w:rsidRPr="00DD51CE">
        <w:rPr>
          <w:sz w:val="24"/>
          <w:szCs w:val="24"/>
        </w:rPr>
        <w:t>V</w:t>
      </w:r>
      <w:r w:rsidRPr="00DD51CE">
        <w:rPr>
          <w:sz w:val="24"/>
          <w:szCs w:val="24"/>
        </w:rPr>
        <w:t>yúčtování. V případě, že výše výdaje vykázaná Příjemcem nesplňuje požadavek souladu s principem přiměřenosti výdaje, je MZ oprávněno výdaj jako způsobilý neschválit, příp. schválit výdaj jen do určité výše.</w:t>
      </w:r>
    </w:p>
    <w:p w14:paraId="231E5912" w14:textId="77777777" w:rsidR="004255D9" w:rsidRPr="00DD51CE" w:rsidRDefault="004255D9" w:rsidP="00DD51CE">
      <w:pPr>
        <w:widowControl/>
        <w:spacing w:after="120" w:line="240" w:lineRule="auto"/>
        <w:jc w:val="both"/>
        <w:rPr>
          <w:sz w:val="24"/>
          <w:szCs w:val="24"/>
        </w:rPr>
      </w:pPr>
    </w:p>
    <w:p w14:paraId="5E4BD623" w14:textId="55348549" w:rsidR="004255D9" w:rsidRPr="00DD51CE" w:rsidRDefault="006733FC" w:rsidP="00B930FE">
      <w:pPr>
        <w:pStyle w:val="Nadpis2"/>
      </w:pPr>
      <w:bookmarkStart w:id="10" w:name="_Toc32407791"/>
      <w:r w:rsidRPr="00DD51CE">
        <w:t xml:space="preserve">2.2 ZPŮSOBILÉ VÝDAJE </w:t>
      </w:r>
      <w:r w:rsidR="00DD77DB" w:rsidRPr="00DD51CE">
        <w:t>–</w:t>
      </w:r>
      <w:r w:rsidRPr="00DD51CE">
        <w:t xml:space="preserve"> KLÍČOVÉ AKTIVITY</w:t>
      </w:r>
      <w:bookmarkEnd w:id="10"/>
    </w:p>
    <w:p w14:paraId="1E62EB50" w14:textId="62FB71ED"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Časová dotace</w:t>
      </w:r>
      <w:r w:rsidR="00983B27">
        <w:rPr>
          <w:sz w:val="24"/>
          <w:szCs w:val="24"/>
        </w:rPr>
        <w:t xml:space="preserve"> </w:t>
      </w:r>
      <w:r w:rsidRPr="00DD51CE">
        <w:rPr>
          <w:sz w:val="24"/>
          <w:szCs w:val="24"/>
        </w:rPr>
        <w:t>/</w:t>
      </w:r>
      <w:r w:rsidR="00983B27">
        <w:rPr>
          <w:sz w:val="24"/>
          <w:szCs w:val="24"/>
        </w:rPr>
        <w:t xml:space="preserve"> d</w:t>
      </w:r>
      <w:r w:rsidRPr="00DD51CE">
        <w:rPr>
          <w:sz w:val="24"/>
          <w:szCs w:val="24"/>
        </w:rPr>
        <w:t>élka vzdělávací aktivity se vyjadřuje v hodinách</w:t>
      </w:r>
      <w:r w:rsidRPr="00DD51CE">
        <w:rPr>
          <w:sz w:val="24"/>
          <w:szCs w:val="24"/>
          <w:vertAlign w:val="superscript"/>
        </w:rPr>
        <w:footnoteReference w:id="10"/>
      </w:r>
      <w:r w:rsidRPr="00DD51CE">
        <w:rPr>
          <w:sz w:val="24"/>
          <w:szCs w:val="24"/>
        </w:rPr>
        <w:t>. Do doby vzdělávání nelze řadit přestávku na jídlo a oddech ve smyslu § 88 zákona č.</w:t>
      </w:r>
      <w:r w:rsidR="00845DB5">
        <w:rPr>
          <w:sz w:val="24"/>
          <w:szCs w:val="24"/>
        </w:rPr>
        <w:t> </w:t>
      </w:r>
      <w:r w:rsidRPr="00DD51CE">
        <w:rPr>
          <w:sz w:val="24"/>
          <w:szCs w:val="24"/>
        </w:rPr>
        <w:t xml:space="preserve">262/2006 Sb., zákoník práce, ve znění pozdějších předpisů (dále jen „Zákoník práce”). </w:t>
      </w:r>
    </w:p>
    <w:p w14:paraId="53EA136F" w14:textId="1CBC2295"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Časové dotace pro jednotlivé vzdělávací aktivity jsou pro určení způsobilých výdajů </w:t>
      </w:r>
      <w:r w:rsidRPr="00802192">
        <w:rPr>
          <w:sz w:val="24"/>
          <w:szCs w:val="24"/>
        </w:rPr>
        <w:t xml:space="preserve">v </w:t>
      </w:r>
      <w:r w:rsidR="00802192" w:rsidRPr="00802192">
        <w:rPr>
          <w:sz w:val="24"/>
          <w:szCs w:val="24"/>
        </w:rPr>
        <w:t>P</w:t>
      </w:r>
      <w:r w:rsidR="00B0657C" w:rsidRPr="00802192">
        <w:rPr>
          <w:sz w:val="24"/>
          <w:szCs w:val="24"/>
        </w:rPr>
        <w:t>rojekt</w:t>
      </w:r>
      <w:r w:rsidRPr="00802192">
        <w:rPr>
          <w:sz w:val="24"/>
          <w:szCs w:val="24"/>
        </w:rPr>
        <w:t>u stanoveny</w:t>
      </w:r>
      <w:r w:rsidRPr="00DD51CE">
        <w:rPr>
          <w:sz w:val="24"/>
          <w:szCs w:val="24"/>
        </w:rPr>
        <w:t xml:space="preserve"> v</w:t>
      </w:r>
      <w:r w:rsidR="00667856">
        <w:rPr>
          <w:sz w:val="24"/>
          <w:szCs w:val="24"/>
        </w:rPr>
        <w:t xml:space="preserve"> tomto Metodickém pokynu, v </w:t>
      </w:r>
      <w:r w:rsidRPr="00DD51CE">
        <w:rPr>
          <w:sz w:val="24"/>
          <w:szCs w:val="24"/>
        </w:rPr>
        <w:t>kapitole Zapojení účastníků do klíčových aktivit. U</w:t>
      </w:r>
      <w:r w:rsidR="00845DB5">
        <w:rPr>
          <w:sz w:val="24"/>
          <w:szCs w:val="24"/>
        </w:rPr>
        <w:t> </w:t>
      </w:r>
      <w:r w:rsidR="00C22360">
        <w:rPr>
          <w:sz w:val="24"/>
          <w:szCs w:val="24"/>
        </w:rPr>
        <w:t>KA</w:t>
      </w:r>
      <w:r w:rsidRPr="00DD51CE">
        <w:rPr>
          <w:sz w:val="24"/>
          <w:szCs w:val="24"/>
        </w:rPr>
        <w:t xml:space="preserve">1 až </w:t>
      </w:r>
      <w:r w:rsidR="00C22360">
        <w:rPr>
          <w:sz w:val="24"/>
          <w:szCs w:val="24"/>
        </w:rPr>
        <w:t>KA</w:t>
      </w:r>
      <w:r w:rsidRPr="00DD51CE">
        <w:rPr>
          <w:sz w:val="24"/>
          <w:szCs w:val="24"/>
        </w:rPr>
        <w:t>4 (tj. kurzů realizovaných IPVZ) jsou stanoveny pevně</w:t>
      </w:r>
      <w:r w:rsidRPr="00DD51CE">
        <w:rPr>
          <w:sz w:val="24"/>
          <w:szCs w:val="24"/>
          <w:vertAlign w:val="superscript"/>
        </w:rPr>
        <w:footnoteReference w:id="11"/>
      </w:r>
      <w:r w:rsidRPr="00DD51CE">
        <w:rPr>
          <w:sz w:val="24"/>
          <w:szCs w:val="24"/>
        </w:rPr>
        <w:t xml:space="preserve">, u </w:t>
      </w:r>
      <w:r w:rsidR="00C22360">
        <w:rPr>
          <w:sz w:val="24"/>
          <w:szCs w:val="24"/>
        </w:rPr>
        <w:t>KA</w:t>
      </w:r>
      <w:r w:rsidRPr="00DD51CE">
        <w:rPr>
          <w:sz w:val="24"/>
          <w:szCs w:val="24"/>
        </w:rPr>
        <w:t xml:space="preserve">5 až </w:t>
      </w:r>
      <w:r w:rsidR="00C22360">
        <w:rPr>
          <w:sz w:val="24"/>
          <w:szCs w:val="24"/>
        </w:rPr>
        <w:t>KA</w:t>
      </w:r>
      <w:r w:rsidRPr="00DD51CE">
        <w:rPr>
          <w:sz w:val="24"/>
          <w:szCs w:val="24"/>
        </w:rPr>
        <w:t xml:space="preserve">9 (tj. u ostatních kurzů) je stanoveno přípustné rozmezí, kdy skutečná účast závisí na délce konkrétního kurzu v rámci tohoto rozmezí. U </w:t>
      </w:r>
      <w:r w:rsidR="00C22360">
        <w:rPr>
          <w:sz w:val="24"/>
          <w:szCs w:val="24"/>
        </w:rPr>
        <w:t>KA</w:t>
      </w:r>
      <w:r w:rsidRPr="00DD51CE">
        <w:rPr>
          <w:sz w:val="24"/>
          <w:szCs w:val="24"/>
        </w:rPr>
        <w:t xml:space="preserve">10 až </w:t>
      </w:r>
      <w:r w:rsidR="00C22360">
        <w:rPr>
          <w:sz w:val="24"/>
          <w:szCs w:val="24"/>
        </w:rPr>
        <w:t>KA</w:t>
      </w:r>
      <w:r w:rsidRPr="00DD51CE">
        <w:rPr>
          <w:sz w:val="24"/>
          <w:szCs w:val="24"/>
        </w:rPr>
        <w:t>13 (tj. u</w:t>
      </w:r>
      <w:r w:rsidR="00845DB5">
        <w:rPr>
          <w:sz w:val="24"/>
          <w:szCs w:val="24"/>
        </w:rPr>
        <w:t> </w:t>
      </w:r>
      <w:r w:rsidRPr="00DD51CE">
        <w:rPr>
          <w:sz w:val="24"/>
          <w:szCs w:val="24"/>
        </w:rPr>
        <w:t>praxí) jsou stanoveny maximální limity</w:t>
      </w:r>
      <w:r w:rsidRPr="00DD51CE">
        <w:rPr>
          <w:sz w:val="24"/>
          <w:szCs w:val="24"/>
          <w:vertAlign w:val="superscript"/>
        </w:rPr>
        <w:footnoteReference w:id="12"/>
      </w:r>
      <w:r w:rsidRPr="00DD51CE">
        <w:rPr>
          <w:sz w:val="24"/>
          <w:szCs w:val="24"/>
        </w:rPr>
        <w:t xml:space="preserve"> </w:t>
      </w:r>
      <w:r w:rsidRPr="00DD51CE">
        <w:rPr>
          <w:sz w:val="24"/>
          <w:szCs w:val="24"/>
          <w:vertAlign w:val="superscript"/>
        </w:rPr>
        <w:footnoteReference w:id="13"/>
      </w:r>
      <w:r w:rsidRPr="00DD51CE">
        <w:rPr>
          <w:sz w:val="24"/>
          <w:szCs w:val="24"/>
        </w:rPr>
        <w:t xml:space="preserve">, kdy skutečná účast závisí na již absolvovaném vzdělání konkrétního účastníka před vstupem do </w:t>
      </w:r>
      <w:r w:rsidR="00535A03">
        <w:rPr>
          <w:sz w:val="24"/>
          <w:szCs w:val="24"/>
        </w:rPr>
        <w:t>P</w:t>
      </w:r>
      <w:r w:rsidR="00B0657C" w:rsidRPr="00DD51CE">
        <w:rPr>
          <w:sz w:val="24"/>
          <w:szCs w:val="24"/>
        </w:rPr>
        <w:t>rojekt</w:t>
      </w:r>
      <w:r w:rsidRPr="00DD51CE">
        <w:rPr>
          <w:sz w:val="24"/>
          <w:szCs w:val="24"/>
        </w:rPr>
        <w:t xml:space="preserve">u. </w:t>
      </w:r>
    </w:p>
    <w:p w14:paraId="55F86C14" w14:textId="34328701"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Náklady na mzdu/plat, resp. náhrady mzdy/platu za pracovní volno, stejně jako náklady na vzdělávací aktivity a dále případné náklady na ubytování jsou způsobilé, pokud se přímo vztahují k výše uvedeným časovým dotacím. </w:t>
      </w:r>
    </w:p>
    <w:p w14:paraId="3657248A" w14:textId="4E7A753A"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Výdaje spojené s účastí na </w:t>
      </w:r>
      <w:r w:rsidR="00C22360">
        <w:rPr>
          <w:sz w:val="24"/>
          <w:szCs w:val="24"/>
        </w:rPr>
        <w:t>KA</w:t>
      </w:r>
      <w:r w:rsidRPr="00DD51CE">
        <w:rPr>
          <w:sz w:val="24"/>
          <w:szCs w:val="24"/>
        </w:rPr>
        <w:t xml:space="preserve">1 až </w:t>
      </w:r>
      <w:r w:rsidR="00C22360">
        <w:rPr>
          <w:sz w:val="24"/>
          <w:szCs w:val="24"/>
        </w:rPr>
        <w:t>KA</w:t>
      </w:r>
      <w:r w:rsidRPr="00DD51CE">
        <w:rPr>
          <w:sz w:val="24"/>
          <w:szCs w:val="24"/>
        </w:rPr>
        <w:t>9 (tj. kurzů) mohou být proplaceny pouze jednou</w:t>
      </w:r>
      <w:r w:rsidRPr="00DD51CE">
        <w:rPr>
          <w:sz w:val="24"/>
          <w:szCs w:val="24"/>
          <w:vertAlign w:val="superscript"/>
        </w:rPr>
        <w:footnoteReference w:id="14"/>
      </w:r>
      <w:r w:rsidRPr="00DD51CE">
        <w:rPr>
          <w:sz w:val="24"/>
          <w:szCs w:val="24"/>
        </w:rPr>
        <w:t>, a to až po úplném absolvování</w:t>
      </w:r>
      <w:r w:rsidRPr="00DD51CE">
        <w:rPr>
          <w:sz w:val="24"/>
          <w:szCs w:val="24"/>
          <w:vertAlign w:val="superscript"/>
        </w:rPr>
        <w:footnoteReference w:id="15"/>
      </w:r>
      <w:r w:rsidRPr="00DD51CE">
        <w:rPr>
          <w:sz w:val="24"/>
          <w:szCs w:val="24"/>
        </w:rPr>
        <w:t xml:space="preserve"> </w:t>
      </w:r>
      <w:r w:rsidRPr="00DD51CE">
        <w:rPr>
          <w:sz w:val="24"/>
          <w:szCs w:val="24"/>
          <w:vertAlign w:val="superscript"/>
        </w:rPr>
        <w:footnoteReference w:id="16"/>
      </w:r>
      <w:r w:rsidRPr="00DD51CE">
        <w:rPr>
          <w:sz w:val="24"/>
          <w:szCs w:val="24"/>
        </w:rPr>
        <w:t xml:space="preserve"> daného kurzu účastníkem. </w:t>
      </w:r>
    </w:p>
    <w:p w14:paraId="4821A3D7" w14:textId="13227E74"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lastRenderedPageBreak/>
        <w:t xml:space="preserve">Časová dotace pro určení způsobilých výdajů při účasti na atestační zkoušce je stanovena maximálně jako jeden den (max. 8 hodin). </w:t>
      </w:r>
    </w:p>
    <w:p w14:paraId="4D97438D" w14:textId="53E7EE98" w:rsidR="004255D9" w:rsidRPr="00B930FE" w:rsidRDefault="006733FC" w:rsidP="00B930FE">
      <w:pPr>
        <w:pStyle w:val="Nadpis2"/>
      </w:pPr>
      <w:bookmarkStart w:id="11" w:name="_Toc32407792"/>
      <w:r w:rsidRPr="00B930FE">
        <w:t>2.3 OBLASTI ZPŮSOBILÝCH VÝDAJŮ</w:t>
      </w:r>
      <w:bookmarkEnd w:id="11"/>
    </w:p>
    <w:p w14:paraId="3F0746E6" w14:textId="2B3C381A" w:rsidR="004255D9" w:rsidRPr="00DD51CE" w:rsidRDefault="006733FC" w:rsidP="00DD51CE">
      <w:pPr>
        <w:spacing w:after="120" w:line="240" w:lineRule="auto"/>
        <w:rPr>
          <w:sz w:val="24"/>
          <w:szCs w:val="24"/>
        </w:rPr>
      </w:pPr>
      <w:r w:rsidRPr="00DD51CE">
        <w:rPr>
          <w:sz w:val="24"/>
          <w:szCs w:val="24"/>
        </w:rPr>
        <w:t xml:space="preserve">Z dotace jsou hrazeny </w:t>
      </w:r>
      <w:r w:rsidR="002264C3" w:rsidRPr="00DD51CE">
        <w:rPr>
          <w:sz w:val="24"/>
          <w:szCs w:val="24"/>
        </w:rPr>
        <w:t>tři</w:t>
      </w:r>
      <w:r w:rsidRPr="00DD51CE">
        <w:rPr>
          <w:sz w:val="24"/>
          <w:szCs w:val="24"/>
        </w:rPr>
        <w:t xml:space="preserve"> oblasti způsobilých výdajů:</w:t>
      </w:r>
    </w:p>
    <w:p w14:paraId="1537B4C2" w14:textId="26111090" w:rsidR="004255D9" w:rsidRPr="00DD51CE" w:rsidRDefault="002264C3" w:rsidP="00DE45DF">
      <w:pPr>
        <w:numPr>
          <w:ilvl w:val="0"/>
          <w:numId w:val="1"/>
        </w:numPr>
        <w:spacing w:after="120" w:line="240" w:lineRule="auto"/>
        <w:ind w:left="851"/>
        <w:rPr>
          <w:b/>
          <w:sz w:val="24"/>
          <w:szCs w:val="24"/>
        </w:rPr>
      </w:pPr>
      <w:r w:rsidRPr="00DD51CE">
        <w:rPr>
          <w:b/>
          <w:sz w:val="24"/>
          <w:szCs w:val="24"/>
        </w:rPr>
        <w:t>výdaje</w:t>
      </w:r>
      <w:r w:rsidR="006733FC" w:rsidRPr="00DD51CE">
        <w:rPr>
          <w:b/>
          <w:sz w:val="24"/>
          <w:szCs w:val="24"/>
        </w:rPr>
        <w:t xml:space="preserve"> na mzdu/plat, resp. náhrady mzdy/platu za pracovní volno</w:t>
      </w:r>
      <w:r w:rsidR="00202D38" w:rsidRPr="00DD51CE">
        <w:rPr>
          <w:rStyle w:val="Znakapoznpodarou"/>
          <w:b/>
          <w:sz w:val="24"/>
          <w:szCs w:val="24"/>
        </w:rPr>
        <w:footnoteReference w:id="17"/>
      </w:r>
      <w:r w:rsidRPr="00DD51CE">
        <w:rPr>
          <w:b/>
          <w:sz w:val="24"/>
          <w:szCs w:val="24"/>
        </w:rPr>
        <w:t>;</w:t>
      </w:r>
    </w:p>
    <w:p w14:paraId="151E29BB" w14:textId="15DFB5FB" w:rsidR="004255D9" w:rsidRPr="00DD51CE" w:rsidRDefault="002264C3" w:rsidP="00DE45DF">
      <w:pPr>
        <w:numPr>
          <w:ilvl w:val="0"/>
          <w:numId w:val="1"/>
        </w:numPr>
        <w:spacing w:after="120" w:line="240" w:lineRule="auto"/>
        <w:ind w:left="851"/>
        <w:rPr>
          <w:b/>
          <w:sz w:val="24"/>
          <w:szCs w:val="24"/>
        </w:rPr>
      </w:pPr>
      <w:r w:rsidRPr="00DD51CE">
        <w:rPr>
          <w:b/>
          <w:sz w:val="24"/>
          <w:szCs w:val="24"/>
        </w:rPr>
        <w:t>výdaje</w:t>
      </w:r>
      <w:r w:rsidR="006733FC" w:rsidRPr="00DD51CE">
        <w:rPr>
          <w:b/>
          <w:sz w:val="24"/>
          <w:szCs w:val="24"/>
        </w:rPr>
        <w:t xml:space="preserve"> </w:t>
      </w:r>
      <w:r w:rsidR="00081DA1">
        <w:rPr>
          <w:b/>
          <w:sz w:val="24"/>
          <w:szCs w:val="24"/>
        </w:rPr>
        <w:t xml:space="preserve">na </w:t>
      </w:r>
      <w:r w:rsidR="006733FC" w:rsidRPr="00DD51CE">
        <w:rPr>
          <w:b/>
          <w:sz w:val="24"/>
          <w:szCs w:val="24"/>
        </w:rPr>
        <w:t>ubytování</w:t>
      </w:r>
      <w:r w:rsidRPr="00DD51CE">
        <w:rPr>
          <w:b/>
          <w:sz w:val="24"/>
          <w:szCs w:val="24"/>
        </w:rPr>
        <w:t>;</w:t>
      </w:r>
    </w:p>
    <w:p w14:paraId="4133A7B3" w14:textId="1A96F29F" w:rsidR="004255D9" w:rsidRPr="00DD51CE" w:rsidRDefault="002264C3" w:rsidP="00DE45DF">
      <w:pPr>
        <w:numPr>
          <w:ilvl w:val="0"/>
          <w:numId w:val="1"/>
        </w:numPr>
        <w:spacing w:after="120" w:line="240" w:lineRule="auto"/>
        <w:ind w:left="851"/>
        <w:rPr>
          <w:b/>
          <w:sz w:val="24"/>
          <w:szCs w:val="24"/>
        </w:rPr>
      </w:pPr>
      <w:r w:rsidRPr="00DD51CE">
        <w:rPr>
          <w:b/>
          <w:sz w:val="24"/>
          <w:szCs w:val="24"/>
        </w:rPr>
        <w:t>výdaje</w:t>
      </w:r>
      <w:r w:rsidR="006733FC" w:rsidRPr="00DD51CE">
        <w:rPr>
          <w:b/>
          <w:sz w:val="24"/>
          <w:szCs w:val="24"/>
        </w:rPr>
        <w:t xml:space="preserve"> na vzdělávací aktivity</w:t>
      </w:r>
      <w:r w:rsidR="007D39D1">
        <w:rPr>
          <w:b/>
          <w:sz w:val="24"/>
          <w:szCs w:val="24"/>
        </w:rPr>
        <w:t>.</w:t>
      </w:r>
    </w:p>
    <w:p w14:paraId="75B563C7" w14:textId="2706144E" w:rsidR="004255D9" w:rsidRPr="00DD51CE" w:rsidRDefault="006733FC" w:rsidP="00DD51CE">
      <w:pPr>
        <w:spacing w:before="240" w:after="120" w:line="240" w:lineRule="auto"/>
        <w:jc w:val="both"/>
        <w:rPr>
          <w:sz w:val="24"/>
          <w:szCs w:val="24"/>
        </w:rPr>
      </w:pPr>
      <w:r w:rsidRPr="00DD51CE">
        <w:rPr>
          <w:sz w:val="24"/>
          <w:szCs w:val="24"/>
        </w:rPr>
        <w:t xml:space="preserve">U každého účastníka jakožto zaměstnance je nutné rozlišovat, zda v jeho případě účastí na klíčových aktivitách Projektu dochází dle § 5 odst.13 zákona č. 95/2004 Sb. k prohlubování, nebo k zvyšování kvalifikace dle Zákoníku práce. </w:t>
      </w:r>
    </w:p>
    <w:p w14:paraId="087CF9CE" w14:textId="28ECD5BE" w:rsidR="000E2997" w:rsidRPr="00DD51CE" w:rsidRDefault="000E2997" w:rsidP="00DD51CE">
      <w:pPr>
        <w:spacing w:before="240" w:after="120" w:line="240" w:lineRule="auto"/>
        <w:jc w:val="both"/>
        <w:rPr>
          <w:sz w:val="24"/>
          <w:szCs w:val="24"/>
        </w:rPr>
      </w:pPr>
      <w:r w:rsidRPr="00DD51CE">
        <w:rPr>
          <w:sz w:val="24"/>
          <w:szCs w:val="24"/>
        </w:rPr>
        <w:t>Účast na vzdělávání v prvním základním kmeni a v prvním specializačním oboru, do kterého je účastník Projektu zařazen podle tohoto zákona, se považuje za zvyšování kvalifikace podle Zákoníku práce. Jiné vzdělávání než v prvním základním kmeni a v prvním specializačním oboru, do kterého je účastník Projektu zařazen podle tohoto zákona, se považuje za prohlubování kvalifikace podle Zákoníku práce.</w:t>
      </w:r>
    </w:p>
    <w:p w14:paraId="4AC1BCC2" w14:textId="182CF2C6" w:rsidR="004255D9" w:rsidRPr="00B930FE" w:rsidRDefault="006733FC" w:rsidP="00B930FE">
      <w:pPr>
        <w:pStyle w:val="Nadpis3"/>
      </w:pPr>
      <w:bookmarkStart w:id="12" w:name="_Toc32407793"/>
      <w:r w:rsidRPr="00B930FE">
        <w:t xml:space="preserve">2.3.1 </w:t>
      </w:r>
      <w:r w:rsidR="000E2997" w:rsidRPr="00B930FE">
        <w:t>Výdaje</w:t>
      </w:r>
      <w:r w:rsidRPr="00B930FE">
        <w:t xml:space="preserve"> na mzdu/plat, resp. náhrady mzdy/platu za pracovní volno</w:t>
      </w:r>
      <w:bookmarkEnd w:id="12"/>
    </w:p>
    <w:p w14:paraId="057334DF" w14:textId="77777777" w:rsidR="004255D9" w:rsidRPr="00DD51CE" w:rsidRDefault="006733FC" w:rsidP="00DE45DF">
      <w:pPr>
        <w:widowControl/>
        <w:numPr>
          <w:ilvl w:val="0"/>
          <w:numId w:val="6"/>
        </w:numPr>
        <w:spacing w:after="120" w:line="240" w:lineRule="auto"/>
        <w:ind w:left="414" w:hanging="357"/>
        <w:jc w:val="both"/>
        <w:rPr>
          <w:b/>
          <w:sz w:val="24"/>
          <w:szCs w:val="24"/>
        </w:rPr>
      </w:pPr>
      <w:r w:rsidRPr="00DD51CE">
        <w:rPr>
          <w:b/>
          <w:sz w:val="24"/>
          <w:szCs w:val="24"/>
        </w:rPr>
        <w:t xml:space="preserve">V případě prohlubování kvalifikace: </w:t>
      </w:r>
    </w:p>
    <w:p w14:paraId="2FC0130C" w14:textId="29F96274" w:rsidR="004255D9" w:rsidRPr="00DD51CE" w:rsidRDefault="000E2997" w:rsidP="00DE45DF">
      <w:pPr>
        <w:numPr>
          <w:ilvl w:val="0"/>
          <w:numId w:val="8"/>
        </w:numPr>
        <w:spacing w:after="120" w:line="240" w:lineRule="auto"/>
        <w:jc w:val="both"/>
        <w:rPr>
          <w:sz w:val="24"/>
          <w:szCs w:val="24"/>
        </w:rPr>
      </w:pPr>
      <w:r w:rsidRPr="00DD51CE">
        <w:rPr>
          <w:b/>
          <w:sz w:val="24"/>
          <w:szCs w:val="24"/>
        </w:rPr>
        <w:t>Výdaje</w:t>
      </w:r>
      <w:r w:rsidR="006733FC" w:rsidRPr="00DD51CE">
        <w:rPr>
          <w:b/>
          <w:sz w:val="24"/>
          <w:szCs w:val="24"/>
        </w:rPr>
        <w:t xml:space="preserve"> na mzdu/plat</w:t>
      </w:r>
      <w:r w:rsidR="006733FC" w:rsidRPr="00DD51CE">
        <w:rPr>
          <w:sz w:val="24"/>
          <w:szCs w:val="24"/>
        </w:rPr>
        <w:t xml:space="preserve"> účastníka jakožto zaměstnance včetně částky pojistného na sociální zabezpečení (pokud </w:t>
      </w:r>
      <w:r w:rsidR="00793A45">
        <w:rPr>
          <w:sz w:val="24"/>
          <w:szCs w:val="24"/>
        </w:rPr>
        <w:t>Příjemce</w:t>
      </w:r>
      <w:r w:rsidR="006733FC" w:rsidRPr="00DD51CE">
        <w:rPr>
          <w:sz w:val="24"/>
          <w:szCs w:val="24"/>
        </w:rPr>
        <w:t xml:space="preserve"> zároveň neuplatnil nárok na slevu na pojistném na sociální zabezpečení), další zákonné odvody a příspěvek na státní politiku zaměstnanosti a dále pojistné na veřejné zdravotní pojištění, které </w:t>
      </w:r>
      <w:r w:rsidR="00793A45">
        <w:rPr>
          <w:sz w:val="24"/>
          <w:szCs w:val="24"/>
        </w:rPr>
        <w:t>Příjemce</w:t>
      </w:r>
      <w:r w:rsidR="006733FC" w:rsidRPr="00DD51CE">
        <w:rPr>
          <w:sz w:val="24"/>
          <w:szCs w:val="24"/>
        </w:rPr>
        <w:t xml:space="preserve"> odvedl z vyměřovacího základu </w:t>
      </w:r>
      <w:r w:rsidR="001E6A30">
        <w:rPr>
          <w:sz w:val="24"/>
          <w:szCs w:val="24"/>
        </w:rPr>
        <w:t>účastníka</w:t>
      </w:r>
      <w:r w:rsidR="006733FC" w:rsidRPr="00DD51CE">
        <w:rPr>
          <w:sz w:val="24"/>
          <w:szCs w:val="24"/>
        </w:rPr>
        <w:t xml:space="preserve">, a to za délku účasti </w:t>
      </w:r>
      <w:r w:rsidR="001E6A30">
        <w:rPr>
          <w:sz w:val="24"/>
          <w:szCs w:val="24"/>
        </w:rPr>
        <w:t>účastníka</w:t>
      </w:r>
      <w:r w:rsidR="006733FC" w:rsidRPr="00DD51CE">
        <w:rPr>
          <w:sz w:val="24"/>
          <w:szCs w:val="24"/>
        </w:rPr>
        <w:t xml:space="preserve"> na </w:t>
      </w:r>
      <w:r w:rsidR="006733FC" w:rsidRPr="00DD51CE">
        <w:rPr>
          <w:b/>
          <w:sz w:val="24"/>
          <w:szCs w:val="24"/>
        </w:rPr>
        <w:t>vzdělávacích aktivitách a atestační zkoušce,</w:t>
      </w:r>
      <w:r w:rsidR="006733FC" w:rsidRPr="00DD51CE">
        <w:rPr>
          <w:sz w:val="24"/>
          <w:szCs w:val="24"/>
        </w:rPr>
        <w:t xml:space="preserve"> které jsou realizovány v rámci Projektu, a to až do výše 100 % skutečně vzniklých osobních nákladů, nejvýše však do výše uvedené v tomto Metodickém pokynu, v tabulce Výše maximálních </w:t>
      </w:r>
      <w:r w:rsidRPr="00DD51CE">
        <w:rPr>
          <w:rFonts w:eastAsia="Cambria"/>
          <w:sz w:val="24"/>
          <w:szCs w:val="24"/>
        </w:rPr>
        <w:t>mzdových/platových příspěvků</w:t>
      </w:r>
      <w:r w:rsidR="006733FC" w:rsidRPr="00DD51CE">
        <w:rPr>
          <w:rFonts w:eastAsia="Cambria"/>
          <w:sz w:val="24"/>
          <w:szCs w:val="24"/>
        </w:rPr>
        <w:t>.</w:t>
      </w:r>
    </w:p>
    <w:p w14:paraId="76A78A7F" w14:textId="35794E93" w:rsidR="004255D9" w:rsidRPr="00DD51CE" w:rsidRDefault="006733FC" w:rsidP="00DE45DF">
      <w:pPr>
        <w:numPr>
          <w:ilvl w:val="0"/>
          <w:numId w:val="8"/>
        </w:numPr>
        <w:spacing w:after="120" w:line="240" w:lineRule="auto"/>
        <w:jc w:val="both"/>
        <w:rPr>
          <w:sz w:val="24"/>
          <w:szCs w:val="24"/>
        </w:rPr>
      </w:pPr>
      <w:r w:rsidRPr="00DD51CE">
        <w:rPr>
          <w:color w:val="000000"/>
          <w:sz w:val="24"/>
          <w:szCs w:val="24"/>
        </w:rPr>
        <w:t>Způsobilým výdajem jsou také jiné</w:t>
      </w:r>
      <w:r w:rsidRPr="00DD51CE">
        <w:rPr>
          <w:sz w:val="24"/>
          <w:szCs w:val="24"/>
        </w:rPr>
        <w:t xml:space="preserve"> </w:t>
      </w:r>
      <w:r w:rsidRPr="00DD51CE">
        <w:rPr>
          <w:color w:val="000000"/>
          <w:sz w:val="24"/>
          <w:szCs w:val="24"/>
        </w:rPr>
        <w:t>výdaje</w:t>
      </w:r>
      <w:r w:rsidR="004863E4">
        <w:rPr>
          <w:color w:val="000000"/>
          <w:sz w:val="24"/>
          <w:szCs w:val="24"/>
        </w:rPr>
        <w:t>,</w:t>
      </w:r>
      <w:r w:rsidRPr="00DD51CE">
        <w:rPr>
          <w:color w:val="000000"/>
          <w:sz w:val="24"/>
          <w:szCs w:val="24"/>
        </w:rPr>
        <w:t xml:space="preserve"> jako např. odvod do fondu kulturních a sociálních potřeb, zákonné pojištění odpovědnosti </w:t>
      </w:r>
      <w:r w:rsidR="00793A45">
        <w:rPr>
          <w:sz w:val="24"/>
          <w:szCs w:val="24"/>
        </w:rPr>
        <w:t>zaměstnavatel</w:t>
      </w:r>
      <w:r w:rsidRPr="00DD51CE">
        <w:rPr>
          <w:color w:val="000000"/>
          <w:sz w:val="24"/>
          <w:szCs w:val="24"/>
        </w:rPr>
        <w:t xml:space="preserve">e za škodu při pracovním úrazu apod., pokud jsou tyto výdaje pro </w:t>
      </w:r>
      <w:r w:rsidR="00793A45">
        <w:rPr>
          <w:sz w:val="24"/>
          <w:szCs w:val="24"/>
        </w:rPr>
        <w:t>Příjemce</w:t>
      </w:r>
      <w:r w:rsidRPr="00DD51CE">
        <w:rPr>
          <w:sz w:val="24"/>
          <w:szCs w:val="24"/>
        </w:rPr>
        <w:t xml:space="preserve"> na základě právních předpisů povinné, </w:t>
      </w:r>
      <w:r w:rsidRPr="00DD51CE">
        <w:rPr>
          <w:color w:val="000000"/>
          <w:sz w:val="24"/>
          <w:szCs w:val="24"/>
        </w:rPr>
        <w:t>to vše do uvedeného limitu.</w:t>
      </w:r>
    </w:p>
    <w:p w14:paraId="08C72D02" w14:textId="77777777" w:rsidR="004255D9" w:rsidRPr="00DD51CE" w:rsidRDefault="006733FC" w:rsidP="00DE45DF">
      <w:pPr>
        <w:widowControl/>
        <w:numPr>
          <w:ilvl w:val="0"/>
          <w:numId w:val="6"/>
        </w:numPr>
        <w:spacing w:after="120" w:line="240" w:lineRule="auto"/>
        <w:ind w:left="414" w:hanging="357"/>
        <w:jc w:val="both"/>
        <w:rPr>
          <w:sz w:val="24"/>
          <w:szCs w:val="24"/>
        </w:rPr>
      </w:pPr>
      <w:r w:rsidRPr="00DD51CE">
        <w:rPr>
          <w:b/>
          <w:color w:val="000000"/>
          <w:sz w:val="24"/>
          <w:szCs w:val="24"/>
        </w:rPr>
        <w:t>V případě zvyšování kvalifikace:</w:t>
      </w:r>
      <w:r w:rsidRPr="00DD51CE">
        <w:rPr>
          <w:sz w:val="24"/>
          <w:szCs w:val="24"/>
        </w:rPr>
        <w:t xml:space="preserve"> </w:t>
      </w:r>
    </w:p>
    <w:p w14:paraId="5C164E09" w14:textId="519D2502" w:rsidR="004255D9" w:rsidRPr="00DD51CE" w:rsidRDefault="006733FC" w:rsidP="00DE45DF">
      <w:pPr>
        <w:numPr>
          <w:ilvl w:val="0"/>
          <w:numId w:val="11"/>
        </w:numPr>
        <w:spacing w:after="120" w:line="240" w:lineRule="auto"/>
        <w:jc w:val="both"/>
        <w:rPr>
          <w:sz w:val="24"/>
          <w:szCs w:val="24"/>
        </w:rPr>
      </w:pPr>
      <w:r w:rsidRPr="00DD51CE">
        <w:rPr>
          <w:sz w:val="24"/>
          <w:szCs w:val="24"/>
        </w:rPr>
        <w:t xml:space="preserve">Zapojením do Projektu jednotliví </w:t>
      </w:r>
      <w:r w:rsidR="001E6A30">
        <w:rPr>
          <w:sz w:val="24"/>
          <w:szCs w:val="24"/>
        </w:rPr>
        <w:t>Příjemci (zaměstnavatelé)</w:t>
      </w:r>
      <w:r w:rsidRPr="00DD51CE">
        <w:rPr>
          <w:sz w:val="24"/>
          <w:szCs w:val="24"/>
        </w:rPr>
        <w:t xml:space="preserve"> deklarovali, že účast na vzdělávacích aktivitách </w:t>
      </w:r>
      <w:r w:rsidR="001E6A30">
        <w:rPr>
          <w:sz w:val="24"/>
          <w:szCs w:val="24"/>
        </w:rPr>
        <w:t>účastníků (zaměstnanců)</w:t>
      </w:r>
      <w:r w:rsidRPr="00DD51CE">
        <w:rPr>
          <w:sz w:val="24"/>
          <w:szCs w:val="24"/>
        </w:rPr>
        <w:t xml:space="preserve">, kteří svoji kvalifikaci zvyšují, je dle § 231 odst. 2 Zákoníku práce v souladu s jejich potřebami. </w:t>
      </w:r>
    </w:p>
    <w:p w14:paraId="5EBCA4D5" w14:textId="1389BA89" w:rsidR="004255D9" w:rsidRPr="00DD51CE" w:rsidRDefault="006733FC" w:rsidP="00DE45DF">
      <w:pPr>
        <w:numPr>
          <w:ilvl w:val="0"/>
          <w:numId w:val="11"/>
        </w:numPr>
        <w:spacing w:after="120" w:line="240" w:lineRule="auto"/>
        <w:jc w:val="both"/>
        <w:rPr>
          <w:sz w:val="24"/>
          <w:szCs w:val="24"/>
        </w:rPr>
      </w:pPr>
      <w:r w:rsidRPr="00DD51CE">
        <w:rPr>
          <w:sz w:val="24"/>
          <w:szCs w:val="24"/>
        </w:rPr>
        <w:t xml:space="preserve">Z tohoto důvodu jsou způsobilé </w:t>
      </w:r>
      <w:r w:rsidRPr="00DD51CE">
        <w:rPr>
          <w:b/>
          <w:sz w:val="24"/>
          <w:szCs w:val="24"/>
        </w:rPr>
        <w:t>n</w:t>
      </w:r>
      <w:r w:rsidRPr="00DD51CE">
        <w:rPr>
          <w:b/>
          <w:color w:val="000000"/>
          <w:sz w:val="24"/>
          <w:szCs w:val="24"/>
        </w:rPr>
        <w:t>áhrady mzdy/platu za pracovní volno</w:t>
      </w:r>
      <w:r w:rsidRPr="00DD51CE">
        <w:rPr>
          <w:color w:val="000000"/>
          <w:sz w:val="24"/>
          <w:szCs w:val="24"/>
        </w:rPr>
        <w:t xml:space="preserve"> poskytnuté v rozsahu stanoveném v § 232 </w:t>
      </w:r>
      <w:r w:rsidRPr="00DD51CE">
        <w:rPr>
          <w:sz w:val="24"/>
          <w:szCs w:val="24"/>
        </w:rPr>
        <w:t>Z</w:t>
      </w:r>
      <w:r w:rsidRPr="00DD51CE">
        <w:rPr>
          <w:color w:val="000000"/>
          <w:sz w:val="24"/>
          <w:szCs w:val="24"/>
        </w:rPr>
        <w:t xml:space="preserve">ákoníku práce, a to ve výši průměrného výdělku včetně částky pojistného na sociální zabezpečení (pokud </w:t>
      </w:r>
      <w:r w:rsidR="00793A45">
        <w:rPr>
          <w:color w:val="000000"/>
          <w:sz w:val="24"/>
          <w:szCs w:val="24"/>
        </w:rPr>
        <w:t>Příjemce</w:t>
      </w:r>
      <w:r w:rsidRPr="00DD51CE">
        <w:rPr>
          <w:color w:val="000000"/>
          <w:sz w:val="24"/>
          <w:szCs w:val="24"/>
        </w:rPr>
        <w:t xml:space="preserve"> zároveň neuplatnil nárok na slevu na pojistném na sociální zabezpečení), dalších zákonn</w:t>
      </w:r>
      <w:r w:rsidRPr="00DD51CE">
        <w:rPr>
          <w:sz w:val="24"/>
          <w:szCs w:val="24"/>
        </w:rPr>
        <w:t>ých</w:t>
      </w:r>
      <w:r w:rsidRPr="00DD51CE">
        <w:rPr>
          <w:color w:val="000000"/>
          <w:sz w:val="24"/>
          <w:szCs w:val="24"/>
        </w:rPr>
        <w:t xml:space="preserve"> odvod</w:t>
      </w:r>
      <w:r w:rsidRPr="00DD51CE">
        <w:rPr>
          <w:sz w:val="24"/>
          <w:szCs w:val="24"/>
        </w:rPr>
        <w:t>ů</w:t>
      </w:r>
      <w:r w:rsidRPr="00DD51CE">
        <w:rPr>
          <w:color w:val="000000"/>
          <w:sz w:val="24"/>
          <w:szCs w:val="24"/>
        </w:rPr>
        <w:t xml:space="preserve"> a příspěvku na státní politiku </w:t>
      </w:r>
      <w:r w:rsidRPr="00DD51CE">
        <w:rPr>
          <w:color w:val="000000"/>
          <w:sz w:val="24"/>
          <w:szCs w:val="24"/>
        </w:rPr>
        <w:lastRenderedPageBreak/>
        <w:t>zaměstnanost</w:t>
      </w:r>
      <w:r w:rsidRPr="00DD51CE">
        <w:rPr>
          <w:sz w:val="24"/>
          <w:szCs w:val="24"/>
        </w:rPr>
        <w:t>i</w:t>
      </w:r>
      <w:r w:rsidRPr="00DD51CE">
        <w:rPr>
          <w:color w:val="000000"/>
          <w:sz w:val="24"/>
          <w:szCs w:val="24"/>
        </w:rPr>
        <w:t xml:space="preserve"> a dále pojistného na veřejné zdravotní pojištění, které </w:t>
      </w:r>
      <w:r w:rsidR="00793A45">
        <w:rPr>
          <w:color w:val="000000"/>
          <w:sz w:val="24"/>
          <w:szCs w:val="24"/>
        </w:rPr>
        <w:t>Příjemce</w:t>
      </w:r>
      <w:r w:rsidRPr="00DD51CE">
        <w:rPr>
          <w:color w:val="000000"/>
          <w:sz w:val="24"/>
          <w:szCs w:val="24"/>
        </w:rPr>
        <w:t xml:space="preserve"> odvedl z vyměřovacího základu </w:t>
      </w:r>
      <w:r w:rsidR="001E6A30">
        <w:rPr>
          <w:color w:val="000000"/>
          <w:sz w:val="24"/>
          <w:szCs w:val="24"/>
        </w:rPr>
        <w:t>účastníka</w:t>
      </w:r>
      <w:r w:rsidRPr="00DD51CE">
        <w:rPr>
          <w:color w:val="000000"/>
          <w:sz w:val="24"/>
          <w:szCs w:val="24"/>
        </w:rPr>
        <w:t xml:space="preserve">, a to za délku účasti </w:t>
      </w:r>
      <w:r w:rsidR="001E6A30">
        <w:rPr>
          <w:color w:val="000000"/>
          <w:sz w:val="24"/>
          <w:szCs w:val="24"/>
        </w:rPr>
        <w:t>účastníka</w:t>
      </w:r>
      <w:r w:rsidRPr="00DD51CE">
        <w:rPr>
          <w:color w:val="000000"/>
          <w:sz w:val="24"/>
          <w:szCs w:val="24"/>
        </w:rPr>
        <w:t xml:space="preserve"> na </w:t>
      </w:r>
      <w:r w:rsidRPr="00DD51CE">
        <w:rPr>
          <w:b/>
          <w:color w:val="000000"/>
          <w:sz w:val="24"/>
          <w:szCs w:val="24"/>
        </w:rPr>
        <w:t>vzdělávacích aktivitách a atestační zkoušce</w:t>
      </w:r>
      <w:r w:rsidRPr="00DD51CE">
        <w:rPr>
          <w:color w:val="000000"/>
          <w:sz w:val="24"/>
          <w:szCs w:val="24"/>
        </w:rPr>
        <w:t>, které jsou realizovány v rámci Projektu,</w:t>
      </w:r>
      <w:r w:rsidRPr="00DD51CE">
        <w:rPr>
          <w:sz w:val="24"/>
          <w:szCs w:val="24"/>
        </w:rPr>
        <w:t xml:space="preserve"> </w:t>
      </w:r>
      <w:r w:rsidRPr="00DD51CE">
        <w:rPr>
          <w:color w:val="000000"/>
          <w:sz w:val="24"/>
          <w:szCs w:val="24"/>
        </w:rPr>
        <w:t>a to až do výše 100 % skutečně vzniklých</w:t>
      </w:r>
      <w:r w:rsidRPr="00DD51CE">
        <w:rPr>
          <w:sz w:val="24"/>
          <w:szCs w:val="24"/>
        </w:rPr>
        <w:t xml:space="preserve"> </w:t>
      </w:r>
      <w:r w:rsidRPr="00DD51CE">
        <w:rPr>
          <w:color w:val="000000"/>
          <w:sz w:val="24"/>
          <w:szCs w:val="24"/>
        </w:rPr>
        <w:t>osobních nákladů, nejvýše však do výše uvedené v tomto Metodickém pokynu, v</w:t>
      </w:r>
      <w:r w:rsidR="00BC5C4B" w:rsidRPr="00DD51CE">
        <w:rPr>
          <w:color w:val="000000"/>
          <w:sz w:val="24"/>
          <w:szCs w:val="24"/>
        </w:rPr>
        <w:t xml:space="preserve"> </w:t>
      </w:r>
      <w:r w:rsidRPr="00DD51CE">
        <w:rPr>
          <w:sz w:val="24"/>
          <w:szCs w:val="24"/>
        </w:rPr>
        <w:t xml:space="preserve">tabulce </w:t>
      </w:r>
      <w:r w:rsidR="00202D38" w:rsidRPr="00DD51CE">
        <w:rPr>
          <w:sz w:val="24"/>
          <w:szCs w:val="24"/>
        </w:rPr>
        <w:t>Výše maximálních mzdových/platových příspěvků</w:t>
      </w:r>
      <w:r w:rsidR="00202D38" w:rsidRPr="00DD51CE">
        <w:rPr>
          <w:rFonts w:eastAsia="Calibri"/>
          <w:sz w:val="24"/>
          <w:szCs w:val="24"/>
        </w:rPr>
        <w:t>.</w:t>
      </w:r>
    </w:p>
    <w:p w14:paraId="22BEEB68" w14:textId="76FAF53E" w:rsidR="004255D9" w:rsidRPr="00DD51CE" w:rsidRDefault="006733FC" w:rsidP="00A563F7">
      <w:pPr>
        <w:pStyle w:val="Odstavecseseznamem"/>
        <w:keepNext/>
        <w:keepLines/>
        <w:numPr>
          <w:ilvl w:val="0"/>
          <w:numId w:val="6"/>
        </w:numPr>
        <w:spacing w:before="240" w:after="120" w:line="240" w:lineRule="auto"/>
        <w:jc w:val="both"/>
        <w:rPr>
          <w:b/>
          <w:bCs/>
          <w:color w:val="000000"/>
          <w:sz w:val="24"/>
          <w:szCs w:val="24"/>
        </w:rPr>
      </w:pPr>
      <w:r w:rsidRPr="00DD51CE">
        <w:rPr>
          <w:b/>
          <w:bCs/>
          <w:sz w:val="24"/>
          <w:szCs w:val="24"/>
        </w:rPr>
        <w:t xml:space="preserve">Výše maximálních </w:t>
      </w:r>
      <w:r w:rsidR="00202D38" w:rsidRPr="00DD51CE">
        <w:rPr>
          <w:b/>
          <w:bCs/>
          <w:sz w:val="24"/>
          <w:szCs w:val="24"/>
        </w:rPr>
        <w:t>mzdových/platových příspěvků</w:t>
      </w:r>
    </w:p>
    <w:tbl>
      <w:tblPr>
        <w:tblStyle w:val="a3"/>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5"/>
        <w:gridCol w:w="3780"/>
        <w:gridCol w:w="3017"/>
      </w:tblGrid>
      <w:tr w:rsidR="004255D9" w:rsidRPr="00DD51CE" w14:paraId="776C274E" w14:textId="77777777" w:rsidTr="00845DB5">
        <w:trPr>
          <w:trHeight w:val="420"/>
        </w:trPr>
        <w:tc>
          <w:tcPr>
            <w:tcW w:w="2265"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159B42C" w14:textId="77777777" w:rsidR="004255D9" w:rsidRPr="00DD51CE" w:rsidRDefault="006733FC" w:rsidP="00A563F7">
            <w:pPr>
              <w:keepNext/>
              <w:keepLines/>
              <w:spacing w:after="120" w:line="240" w:lineRule="auto"/>
              <w:jc w:val="center"/>
              <w:rPr>
                <w:sz w:val="24"/>
                <w:szCs w:val="24"/>
              </w:rPr>
            </w:pPr>
            <w:r w:rsidRPr="00DD51CE">
              <w:rPr>
                <w:sz w:val="24"/>
                <w:szCs w:val="24"/>
              </w:rPr>
              <w:t>Období</w:t>
            </w:r>
          </w:p>
        </w:tc>
        <w:tc>
          <w:tcPr>
            <w:tcW w:w="6797" w:type="dxa"/>
            <w:gridSpan w:val="2"/>
            <w:tcBorders>
              <w:top w:val="single" w:sz="8" w:space="0" w:color="000000"/>
              <w:left w:val="single" w:sz="8" w:space="0" w:color="000000"/>
              <w:bottom w:val="single" w:sz="8" w:space="0" w:color="000000"/>
              <w:right w:val="single" w:sz="8" w:space="0" w:color="000000"/>
            </w:tcBorders>
            <w:shd w:val="clear" w:color="auto" w:fill="auto"/>
          </w:tcPr>
          <w:p w14:paraId="3961C916" w14:textId="5336FA6F" w:rsidR="004255D9" w:rsidRPr="00DD51CE" w:rsidRDefault="006733FC" w:rsidP="00A563F7">
            <w:pPr>
              <w:keepNext/>
              <w:keepLines/>
              <w:spacing w:after="120" w:line="240" w:lineRule="auto"/>
              <w:jc w:val="center"/>
              <w:rPr>
                <w:sz w:val="24"/>
                <w:szCs w:val="24"/>
              </w:rPr>
            </w:pPr>
            <w:r w:rsidRPr="00DD51CE">
              <w:rPr>
                <w:sz w:val="24"/>
                <w:szCs w:val="24"/>
              </w:rPr>
              <w:t xml:space="preserve">Výše maximálních </w:t>
            </w:r>
            <w:r w:rsidR="00BC3063" w:rsidRPr="00DD51CE">
              <w:rPr>
                <w:sz w:val="24"/>
                <w:szCs w:val="24"/>
              </w:rPr>
              <w:t>výdajů</w:t>
            </w:r>
            <w:r w:rsidRPr="00DD51CE">
              <w:rPr>
                <w:sz w:val="24"/>
                <w:szCs w:val="24"/>
              </w:rPr>
              <w:t xml:space="preserve"> na mzdu/plat nebo náhrady mzdy/platu za pracovní volno v Kč</w:t>
            </w:r>
            <w:r w:rsidRPr="00DD51CE">
              <w:rPr>
                <w:sz w:val="24"/>
                <w:szCs w:val="24"/>
                <w:vertAlign w:val="superscript"/>
              </w:rPr>
              <w:footnoteReference w:id="18"/>
            </w:r>
            <w:r w:rsidRPr="00DD51CE">
              <w:rPr>
                <w:sz w:val="24"/>
                <w:szCs w:val="24"/>
                <w:vertAlign w:val="superscript"/>
              </w:rPr>
              <w:t xml:space="preserve"> </w:t>
            </w:r>
          </w:p>
        </w:tc>
      </w:tr>
      <w:tr w:rsidR="004255D9" w:rsidRPr="00DD51CE" w14:paraId="18BDD925" w14:textId="77777777" w:rsidTr="00845DB5">
        <w:trPr>
          <w:trHeight w:val="420"/>
        </w:trPr>
        <w:tc>
          <w:tcPr>
            <w:tcW w:w="2265" w:type="dxa"/>
            <w:vMerge/>
            <w:tcBorders>
              <w:top w:val="single" w:sz="8" w:space="0" w:color="000000"/>
              <w:left w:val="single" w:sz="8" w:space="0" w:color="000000"/>
              <w:bottom w:val="single" w:sz="8" w:space="0" w:color="000000"/>
              <w:right w:val="single" w:sz="8" w:space="0" w:color="000000"/>
            </w:tcBorders>
            <w:shd w:val="clear" w:color="auto" w:fill="auto"/>
          </w:tcPr>
          <w:p w14:paraId="0B2CE522" w14:textId="77777777" w:rsidR="004255D9" w:rsidRPr="00DD51CE" w:rsidRDefault="004255D9" w:rsidP="00A563F7">
            <w:pPr>
              <w:keepNext/>
              <w:keepLines/>
              <w:pBdr>
                <w:top w:val="nil"/>
                <w:left w:val="nil"/>
                <w:bottom w:val="nil"/>
                <w:right w:val="nil"/>
                <w:between w:val="nil"/>
              </w:pBdr>
              <w:spacing w:after="120" w:line="240" w:lineRule="auto"/>
              <w:rPr>
                <w:sz w:val="24"/>
                <w:szCs w:val="24"/>
              </w:rPr>
            </w:pP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45EFE53" w14:textId="77777777" w:rsidR="004255D9" w:rsidRPr="00DD51CE" w:rsidRDefault="006733FC" w:rsidP="00A563F7">
            <w:pPr>
              <w:keepNext/>
              <w:keepLines/>
              <w:spacing w:after="120" w:line="240" w:lineRule="auto"/>
              <w:jc w:val="center"/>
              <w:rPr>
                <w:sz w:val="24"/>
                <w:szCs w:val="24"/>
              </w:rPr>
            </w:pPr>
            <w:r w:rsidRPr="00DD51CE">
              <w:rPr>
                <w:sz w:val="24"/>
                <w:szCs w:val="24"/>
              </w:rPr>
              <w:t>za hodinu (= 60 minut)</w:t>
            </w:r>
          </w:p>
        </w:tc>
        <w:tc>
          <w:tcPr>
            <w:tcW w:w="3017" w:type="dxa"/>
            <w:tcBorders>
              <w:top w:val="single" w:sz="8" w:space="0" w:color="000000"/>
              <w:left w:val="single" w:sz="8" w:space="0" w:color="000000"/>
              <w:bottom w:val="single" w:sz="8" w:space="0" w:color="000000"/>
              <w:right w:val="single" w:sz="8" w:space="0" w:color="000000"/>
            </w:tcBorders>
            <w:shd w:val="clear" w:color="auto" w:fill="auto"/>
          </w:tcPr>
          <w:p w14:paraId="5B4FA019" w14:textId="77777777" w:rsidR="004255D9" w:rsidRPr="00DD51CE" w:rsidRDefault="006733FC" w:rsidP="00A563F7">
            <w:pPr>
              <w:keepNext/>
              <w:keepLines/>
              <w:spacing w:after="120" w:line="240" w:lineRule="auto"/>
              <w:jc w:val="center"/>
              <w:rPr>
                <w:sz w:val="24"/>
                <w:szCs w:val="24"/>
              </w:rPr>
            </w:pPr>
            <w:r w:rsidRPr="00DD51CE">
              <w:rPr>
                <w:sz w:val="24"/>
                <w:szCs w:val="24"/>
              </w:rPr>
              <w:t>za den</w:t>
            </w:r>
            <w:r w:rsidRPr="00DD51CE">
              <w:rPr>
                <w:sz w:val="24"/>
                <w:szCs w:val="24"/>
                <w:vertAlign w:val="superscript"/>
              </w:rPr>
              <w:footnoteReference w:id="19"/>
            </w:r>
          </w:p>
        </w:tc>
      </w:tr>
      <w:tr w:rsidR="004255D9" w:rsidRPr="00DD51CE" w14:paraId="7E48FC09" w14:textId="77777777" w:rsidTr="00845DB5">
        <w:tc>
          <w:tcPr>
            <w:tcW w:w="2265" w:type="dxa"/>
            <w:tcBorders>
              <w:left w:val="single" w:sz="8" w:space="0" w:color="000000"/>
              <w:bottom w:val="single" w:sz="8" w:space="0" w:color="000000"/>
              <w:right w:val="single" w:sz="8" w:space="0" w:color="000000"/>
            </w:tcBorders>
            <w:shd w:val="clear" w:color="auto" w:fill="auto"/>
          </w:tcPr>
          <w:p w14:paraId="46400FCC" w14:textId="77777777" w:rsidR="004255D9" w:rsidRPr="00DD51CE" w:rsidRDefault="006733FC" w:rsidP="00A563F7">
            <w:pPr>
              <w:keepNext/>
              <w:keepLines/>
              <w:spacing w:after="120" w:line="240" w:lineRule="auto"/>
              <w:rPr>
                <w:sz w:val="24"/>
                <w:szCs w:val="24"/>
              </w:rPr>
            </w:pPr>
            <w:r w:rsidRPr="00DD51CE">
              <w:rPr>
                <w:sz w:val="24"/>
                <w:szCs w:val="24"/>
              </w:rPr>
              <w:t xml:space="preserve">2020 </w:t>
            </w:r>
          </w:p>
        </w:tc>
        <w:tc>
          <w:tcPr>
            <w:tcW w:w="3780" w:type="dxa"/>
            <w:tcBorders>
              <w:left w:val="single" w:sz="8" w:space="0" w:color="000000"/>
              <w:bottom w:val="single" w:sz="8" w:space="0" w:color="000000"/>
              <w:right w:val="single" w:sz="8" w:space="0" w:color="000000"/>
            </w:tcBorders>
            <w:shd w:val="clear" w:color="auto" w:fill="auto"/>
          </w:tcPr>
          <w:p w14:paraId="22AAD728" w14:textId="28C098B1" w:rsidR="004255D9" w:rsidRPr="00DD51CE" w:rsidRDefault="006733FC" w:rsidP="00A563F7">
            <w:pPr>
              <w:keepNext/>
              <w:keepLines/>
              <w:spacing w:after="120" w:line="240" w:lineRule="auto"/>
              <w:jc w:val="center"/>
              <w:rPr>
                <w:b/>
                <w:sz w:val="24"/>
                <w:szCs w:val="24"/>
              </w:rPr>
            </w:pPr>
            <w:r w:rsidRPr="00DD51CE">
              <w:rPr>
                <w:b/>
                <w:sz w:val="24"/>
                <w:szCs w:val="24"/>
              </w:rPr>
              <w:t>26</w:t>
            </w:r>
            <w:r w:rsidR="009C2C0C">
              <w:rPr>
                <w:b/>
                <w:sz w:val="24"/>
                <w:szCs w:val="24"/>
              </w:rPr>
              <w:t>1</w:t>
            </w:r>
            <w:r w:rsidRPr="00DD51CE">
              <w:rPr>
                <w:b/>
                <w:sz w:val="24"/>
                <w:szCs w:val="24"/>
              </w:rPr>
              <w:t>,90*</w:t>
            </w:r>
          </w:p>
        </w:tc>
        <w:tc>
          <w:tcPr>
            <w:tcW w:w="3017" w:type="dxa"/>
            <w:tcBorders>
              <w:left w:val="single" w:sz="8" w:space="0" w:color="000000"/>
              <w:bottom w:val="single" w:sz="8" w:space="0" w:color="000000"/>
              <w:right w:val="single" w:sz="8" w:space="0" w:color="000000"/>
            </w:tcBorders>
            <w:shd w:val="clear" w:color="auto" w:fill="auto"/>
          </w:tcPr>
          <w:p w14:paraId="0F0CEF67" w14:textId="77777777" w:rsidR="004255D9" w:rsidRPr="00DD51CE" w:rsidRDefault="006733FC" w:rsidP="00A563F7">
            <w:pPr>
              <w:keepNext/>
              <w:keepLines/>
              <w:spacing w:after="120" w:line="240" w:lineRule="auto"/>
              <w:jc w:val="center"/>
              <w:rPr>
                <w:b/>
                <w:sz w:val="24"/>
                <w:szCs w:val="24"/>
              </w:rPr>
            </w:pPr>
            <w:r w:rsidRPr="00DD51CE">
              <w:rPr>
                <w:b/>
                <w:sz w:val="24"/>
                <w:szCs w:val="24"/>
              </w:rPr>
              <w:t>2 095,20*</w:t>
            </w:r>
          </w:p>
        </w:tc>
      </w:tr>
      <w:tr w:rsidR="004255D9" w:rsidRPr="00DD51CE" w14:paraId="5B792DE9" w14:textId="77777777" w:rsidTr="00845DB5">
        <w:tc>
          <w:tcPr>
            <w:tcW w:w="2265" w:type="dxa"/>
            <w:tcBorders>
              <w:left w:val="single" w:sz="8" w:space="0" w:color="000000"/>
              <w:bottom w:val="single" w:sz="8" w:space="0" w:color="000000"/>
              <w:right w:val="single" w:sz="8" w:space="0" w:color="000000"/>
            </w:tcBorders>
            <w:shd w:val="clear" w:color="auto" w:fill="auto"/>
          </w:tcPr>
          <w:p w14:paraId="50F9D942" w14:textId="77777777" w:rsidR="004255D9" w:rsidRPr="00DD51CE" w:rsidRDefault="006733FC" w:rsidP="00A563F7">
            <w:pPr>
              <w:keepNext/>
              <w:keepLines/>
              <w:spacing w:after="120" w:line="240" w:lineRule="auto"/>
              <w:rPr>
                <w:sz w:val="24"/>
                <w:szCs w:val="24"/>
              </w:rPr>
            </w:pPr>
            <w:r w:rsidRPr="00DD51CE">
              <w:rPr>
                <w:sz w:val="24"/>
                <w:szCs w:val="24"/>
              </w:rPr>
              <w:t xml:space="preserve">2021 a dále </w:t>
            </w:r>
          </w:p>
        </w:tc>
        <w:tc>
          <w:tcPr>
            <w:tcW w:w="3780" w:type="dxa"/>
            <w:tcBorders>
              <w:left w:val="single" w:sz="8" w:space="0" w:color="000000"/>
              <w:bottom w:val="single" w:sz="8" w:space="0" w:color="000000"/>
              <w:right w:val="single" w:sz="8" w:space="0" w:color="000000"/>
            </w:tcBorders>
            <w:shd w:val="clear" w:color="auto" w:fill="auto"/>
          </w:tcPr>
          <w:p w14:paraId="1C1099B6" w14:textId="659FAAD0" w:rsidR="004255D9" w:rsidRPr="00DD51CE" w:rsidRDefault="006733FC" w:rsidP="00A563F7">
            <w:pPr>
              <w:keepNext/>
              <w:keepLines/>
              <w:spacing w:after="120" w:line="240" w:lineRule="auto"/>
              <w:jc w:val="center"/>
              <w:rPr>
                <w:b/>
                <w:sz w:val="24"/>
                <w:szCs w:val="24"/>
              </w:rPr>
            </w:pPr>
            <w:r w:rsidRPr="00DD51CE">
              <w:rPr>
                <w:b/>
                <w:sz w:val="24"/>
                <w:szCs w:val="24"/>
              </w:rPr>
              <w:t>26</w:t>
            </w:r>
            <w:r w:rsidR="009C2C0C">
              <w:rPr>
                <w:b/>
                <w:sz w:val="24"/>
                <w:szCs w:val="24"/>
              </w:rPr>
              <w:t>1</w:t>
            </w:r>
            <w:r w:rsidRPr="00DD51CE">
              <w:rPr>
                <w:b/>
                <w:sz w:val="24"/>
                <w:szCs w:val="24"/>
              </w:rPr>
              <w:t>,90*</w:t>
            </w:r>
          </w:p>
        </w:tc>
        <w:tc>
          <w:tcPr>
            <w:tcW w:w="3017" w:type="dxa"/>
            <w:tcBorders>
              <w:left w:val="single" w:sz="8" w:space="0" w:color="000000"/>
              <w:bottom w:val="single" w:sz="8" w:space="0" w:color="000000"/>
              <w:right w:val="single" w:sz="8" w:space="0" w:color="000000"/>
            </w:tcBorders>
            <w:shd w:val="clear" w:color="auto" w:fill="auto"/>
          </w:tcPr>
          <w:p w14:paraId="43E5A1B3" w14:textId="77777777" w:rsidR="004255D9" w:rsidRPr="00DD51CE" w:rsidRDefault="006733FC" w:rsidP="00A563F7">
            <w:pPr>
              <w:keepNext/>
              <w:keepLines/>
              <w:spacing w:after="120" w:line="240" w:lineRule="auto"/>
              <w:jc w:val="center"/>
              <w:rPr>
                <w:b/>
                <w:sz w:val="24"/>
                <w:szCs w:val="24"/>
              </w:rPr>
            </w:pPr>
            <w:r w:rsidRPr="00DD51CE">
              <w:rPr>
                <w:b/>
                <w:sz w:val="24"/>
                <w:szCs w:val="24"/>
              </w:rPr>
              <w:t>2 095,20*</w:t>
            </w:r>
          </w:p>
        </w:tc>
      </w:tr>
    </w:tbl>
    <w:p w14:paraId="52E33456" w14:textId="46EAA001" w:rsidR="004255D9" w:rsidRDefault="006733FC" w:rsidP="00DD51CE">
      <w:pPr>
        <w:spacing w:before="240" w:after="120" w:line="240" w:lineRule="auto"/>
        <w:jc w:val="both"/>
        <w:rPr>
          <w:sz w:val="24"/>
          <w:szCs w:val="24"/>
        </w:rPr>
      </w:pPr>
      <w:r w:rsidRPr="00DD51CE">
        <w:rPr>
          <w:sz w:val="24"/>
          <w:szCs w:val="24"/>
        </w:rPr>
        <w:t xml:space="preserve">* Jedná se o trojnásobek hodinové minimální mzdy pro rok 2020 dle příslušného nařízení vlády </w:t>
      </w:r>
      <w:r w:rsidR="00081DA1" w:rsidRPr="00081DA1">
        <w:rPr>
          <w:sz w:val="24"/>
          <w:szCs w:val="24"/>
        </w:rPr>
        <w:t>č. 273/2018 Sb., kterým se mění nařízení vlády č. 567/2006 Sb., o</w:t>
      </w:r>
      <w:r w:rsidR="00081DA1">
        <w:rPr>
          <w:sz w:val="24"/>
          <w:szCs w:val="24"/>
        </w:rPr>
        <w:t> </w:t>
      </w:r>
      <w:r w:rsidR="00081DA1" w:rsidRPr="00081DA1">
        <w:rPr>
          <w:sz w:val="24"/>
          <w:szCs w:val="24"/>
        </w:rPr>
        <w:t>minimální mzdě, o nejnižších úrovních zaručené mzdy, o vymezení ztíženého pracovního prostředí a o výši příplatku ke mzdě za práci ve ztíženém pracovním prostředí, ve znění pozdějších předpisů</w:t>
      </w:r>
      <w:r w:rsidRPr="00A563F7">
        <w:rPr>
          <w:sz w:val="24"/>
          <w:szCs w:val="24"/>
        </w:rPr>
        <w:t>. V případě, že bude minimální hodinová mzda zvýšena</w:t>
      </w:r>
      <w:r w:rsidR="00A563F7" w:rsidRPr="00A563F7">
        <w:rPr>
          <w:sz w:val="24"/>
          <w:szCs w:val="24"/>
        </w:rPr>
        <w:t xml:space="preserve"> a</w:t>
      </w:r>
      <w:r w:rsidRPr="00A563F7">
        <w:rPr>
          <w:sz w:val="24"/>
          <w:szCs w:val="24"/>
        </w:rPr>
        <w:t xml:space="preserve"> </w:t>
      </w:r>
      <w:r w:rsidR="0041553A" w:rsidRPr="00A563F7">
        <w:rPr>
          <w:sz w:val="24"/>
          <w:szCs w:val="24"/>
        </w:rPr>
        <w:t>MZ</w:t>
      </w:r>
      <w:r w:rsidRPr="00A563F7">
        <w:rPr>
          <w:sz w:val="24"/>
          <w:szCs w:val="24"/>
        </w:rPr>
        <w:t xml:space="preserve"> zvýší limit i v této tabulce</w:t>
      </w:r>
      <w:r w:rsidR="00874945">
        <w:rPr>
          <w:sz w:val="24"/>
          <w:szCs w:val="24"/>
        </w:rPr>
        <w:t xml:space="preserve"> formou revize tohoto Metodického pokynu</w:t>
      </w:r>
      <w:r w:rsidR="00A563F7" w:rsidRPr="00A563F7">
        <w:rPr>
          <w:sz w:val="24"/>
          <w:szCs w:val="24"/>
        </w:rPr>
        <w:t>, může</w:t>
      </w:r>
      <w:r w:rsidRPr="00A563F7">
        <w:rPr>
          <w:sz w:val="24"/>
          <w:szCs w:val="24"/>
        </w:rPr>
        <w:t xml:space="preserve"> Příjemce </w:t>
      </w:r>
      <w:r w:rsidR="00874945">
        <w:rPr>
          <w:sz w:val="24"/>
          <w:szCs w:val="24"/>
        </w:rPr>
        <w:t xml:space="preserve">žádat o </w:t>
      </w:r>
      <w:r w:rsidRPr="00A563F7">
        <w:rPr>
          <w:sz w:val="24"/>
          <w:szCs w:val="24"/>
        </w:rPr>
        <w:t xml:space="preserve">vyšší </w:t>
      </w:r>
      <w:r w:rsidR="002F4119" w:rsidRPr="00A563F7">
        <w:rPr>
          <w:sz w:val="24"/>
          <w:szCs w:val="24"/>
        </w:rPr>
        <w:t>částku</w:t>
      </w:r>
      <w:r w:rsidR="005D5A41" w:rsidRPr="00A563F7">
        <w:rPr>
          <w:sz w:val="24"/>
          <w:szCs w:val="24"/>
        </w:rPr>
        <w:t>,</w:t>
      </w:r>
      <w:r w:rsidRPr="00A563F7">
        <w:rPr>
          <w:sz w:val="24"/>
          <w:szCs w:val="24"/>
        </w:rPr>
        <w:t xml:space="preserve"> než</w:t>
      </w:r>
      <w:r w:rsidR="005D5A41" w:rsidRPr="00A563F7">
        <w:rPr>
          <w:sz w:val="24"/>
          <w:szCs w:val="24"/>
        </w:rPr>
        <w:t xml:space="preserve"> je</w:t>
      </w:r>
      <w:r w:rsidRPr="00A563F7">
        <w:rPr>
          <w:sz w:val="24"/>
          <w:szCs w:val="24"/>
        </w:rPr>
        <w:t xml:space="preserve"> uveden</w:t>
      </w:r>
      <w:r w:rsidR="002F4119" w:rsidRPr="00A563F7">
        <w:rPr>
          <w:sz w:val="24"/>
          <w:szCs w:val="24"/>
        </w:rPr>
        <w:t>á</w:t>
      </w:r>
      <w:r w:rsidRPr="00A563F7">
        <w:rPr>
          <w:sz w:val="24"/>
          <w:szCs w:val="24"/>
        </w:rPr>
        <w:t xml:space="preserve"> v</w:t>
      </w:r>
      <w:r w:rsidR="00535A03">
        <w:rPr>
          <w:sz w:val="24"/>
          <w:szCs w:val="24"/>
        </w:rPr>
        <w:t> </w:t>
      </w:r>
      <w:r w:rsidR="00BC3063" w:rsidRPr="00A563F7">
        <w:rPr>
          <w:sz w:val="24"/>
          <w:szCs w:val="24"/>
        </w:rPr>
        <w:t>Žádosti</w:t>
      </w:r>
      <w:r w:rsidR="00535A03">
        <w:rPr>
          <w:sz w:val="24"/>
          <w:szCs w:val="24"/>
        </w:rPr>
        <w:t xml:space="preserve"> o poskytnutí dotace</w:t>
      </w:r>
      <w:r w:rsidR="00BC3063" w:rsidRPr="00A563F7">
        <w:rPr>
          <w:sz w:val="24"/>
          <w:szCs w:val="24"/>
        </w:rPr>
        <w:t xml:space="preserve"> v prvotní příloze </w:t>
      </w:r>
      <w:r w:rsidRPr="00A563F7">
        <w:rPr>
          <w:sz w:val="24"/>
          <w:szCs w:val="24"/>
        </w:rPr>
        <w:t>Rozpoč</w:t>
      </w:r>
      <w:r w:rsidR="00BC3063" w:rsidRPr="00A563F7">
        <w:rPr>
          <w:sz w:val="24"/>
          <w:szCs w:val="24"/>
        </w:rPr>
        <w:t>et specializačního vzdělávání</w:t>
      </w:r>
      <w:r w:rsidR="006A2886">
        <w:rPr>
          <w:sz w:val="24"/>
          <w:szCs w:val="24"/>
        </w:rPr>
        <w:t xml:space="preserve"> </w:t>
      </w:r>
      <w:r w:rsidR="006A2886">
        <w:rPr>
          <w:rFonts w:eastAsia="Calibri"/>
          <w:sz w:val="24"/>
          <w:szCs w:val="24"/>
        </w:rPr>
        <w:t>(viz příloha Metodiky č. 4)</w:t>
      </w:r>
      <w:r w:rsidR="00A563F7" w:rsidRPr="00A563F7">
        <w:rPr>
          <w:sz w:val="24"/>
          <w:szCs w:val="24"/>
        </w:rPr>
        <w:t>, avšak pouze tehdy</w:t>
      </w:r>
      <w:r w:rsidRPr="00A563F7">
        <w:rPr>
          <w:sz w:val="24"/>
          <w:szCs w:val="24"/>
        </w:rPr>
        <w:t xml:space="preserve">, </w:t>
      </w:r>
      <w:r w:rsidR="00BC3063" w:rsidRPr="00A563F7">
        <w:rPr>
          <w:sz w:val="24"/>
          <w:szCs w:val="24"/>
        </w:rPr>
        <w:t>když</w:t>
      </w:r>
      <w:r w:rsidR="00A563F7" w:rsidRPr="00A563F7">
        <w:rPr>
          <w:sz w:val="24"/>
          <w:szCs w:val="24"/>
        </w:rPr>
        <w:t xml:space="preserve"> Příjemce</w:t>
      </w:r>
      <w:r w:rsidRPr="00A563F7">
        <w:rPr>
          <w:sz w:val="24"/>
          <w:szCs w:val="24"/>
        </w:rPr>
        <w:t xml:space="preserve"> ušetří finanční prostředky (viz </w:t>
      </w:r>
      <w:r w:rsidR="00983B27">
        <w:rPr>
          <w:sz w:val="24"/>
          <w:szCs w:val="24"/>
        </w:rPr>
        <w:t>k</w:t>
      </w:r>
      <w:r w:rsidRPr="00A563F7">
        <w:rPr>
          <w:sz w:val="24"/>
          <w:szCs w:val="24"/>
        </w:rPr>
        <w:t>apitola Změny v</w:t>
      </w:r>
      <w:r w:rsidR="006A2886">
        <w:rPr>
          <w:sz w:val="24"/>
          <w:szCs w:val="24"/>
        </w:rPr>
        <w:t> </w:t>
      </w:r>
      <w:r w:rsidRPr="00A563F7">
        <w:rPr>
          <w:sz w:val="24"/>
          <w:szCs w:val="24"/>
        </w:rPr>
        <w:t>tomto Metodickém pokynu)</w:t>
      </w:r>
      <w:r w:rsidR="00A563F7" w:rsidRPr="00A563F7">
        <w:rPr>
          <w:sz w:val="24"/>
          <w:szCs w:val="24"/>
        </w:rPr>
        <w:t xml:space="preserve"> a zároveň vždy do limitu uvedeného v této tabulce.</w:t>
      </w:r>
    </w:p>
    <w:p w14:paraId="715BA846" w14:textId="2DA66439" w:rsidR="004255D9" w:rsidRPr="00DD51CE" w:rsidRDefault="006733FC" w:rsidP="00DD51CE">
      <w:pPr>
        <w:spacing w:before="240" w:after="120" w:line="240" w:lineRule="auto"/>
        <w:jc w:val="both"/>
        <w:rPr>
          <w:color w:val="000000"/>
          <w:sz w:val="24"/>
          <w:szCs w:val="24"/>
        </w:rPr>
      </w:pPr>
      <w:r w:rsidRPr="00DD51CE">
        <w:rPr>
          <w:color w:val="000000"/>
          <w:sz w:val="24"/>
          <w:szCs w:val="24"/>
        </w:rPr>
        <w:t>Náklady na mzdu/plat nebo náhrady mzdy/platu za pracovní volno účastníků budou způsobilým výdajem pouze do výše úvazku</w:t>
      </w:r>
      <w:r w:rsidRPr="00DD51CE">
        <w:rPr>
          <w:color w:val="000000"/>
          <w:sz w:val="24"/>
          <w:szCs w:val="24"/>
          <w:vertAlign w:val="superscript"/>
        </w:rPr>
        <w:footnoteReference w:id="20"/>
      </w:r>
      <w:r w:rsidRPr="00DD51CE">
        <w:rPr>
          <w:color w:val="000000"/>
          <w:sz w:val="24"/>
          <w:szCs w:val="24"/>
        </w:rPr>
        <w:t xml:space="preserve"> příslušného </w:t>
      </w:r>
      <w:r w:rsidR="001E6A30">
        <w:rPr>
          <w:color w:val="000000"/>
          <w:sz w:val="24"/>
          <w:szCs w:val="24"/>
        </w:rPr>
        <w:t>účastníka</w:t>
      </w:r>
      <w:r w:rsidRPr="00DD51CE">
        <w:rPr>
          <w:color w:val="000000"/>
          <w:sz w:val="24"/>
          <w:szCs w:val="24"/>
        </w:rPr>
        <w:t>, maximálně však do 1,0 úvazku.</w:t>
      </w:r>
      <w:r w:rsidRPr="00DD51CE">
        <w:rPr>
          <w:sz w:val="24"/>
          <w:szCs w:val="24"/>
        </w:rPr>
        <w:t xml:space="preserve"> </w:t>
      </w:r>
    </w:p>
    <w:p w14:paraId="6EC53D03" w14:textId="64CC80C0" w:rsidR="004255D9" w:rsidRPr="00B930FE" w:rsidRDefault="006733FC" w:rsidP="00B930FE">
      <w:pPr>
        <w:pStyle w:val="Nadpis3"/>
      </w:pPr>
      <w:bookmarkStart w:id="13" w:name="_Toc32407794"/>
      <w:r w:rsidRPr="00B930FE">
        <w:t xml:space="preserve">2.3.2 </w:t>
      </w:r>
      <w:r w:rsidR="00ED26C3" w:rsidRPr="00B930FE">
        <w:t>Výdaje</w:t>
      </w:r>
      <w:r w:rsidRPr="00B930FE">
        <w:t xml:space="preserve"> na ubytování</w:t>
      </w:r>
      <w:bookmarkEnd w:id="13"/>
    </w:p>
    <w:p w14:paraId="1FC29C38" w14:textId="53DDA2B7" w:rsidR="004255D9" w:rsidRPr="00DD51CE" w:rsidRDefault="00ED26C3" w:rsidP="00DD51CE">
      <w:pPr>
        <w:spacing w:after="120" w:line="240" w:lineRule="auto"/>
        <w:jc w:val="both"/>
        <w:rPr>
          <w:sz w:val="24"/>
          <w:szCs w:val="24"/>
        </w:rPr>
      </w:pPr>
      <w:r w:rsidRPr="00DD51CE">
        <w:rPr>
          <w:b/>
          <w:sz w:val="24"/>
          <w:szCs w:val="24"/>
        </w:rPr>
        <w:t>Výdaje</w:t>
      </w:r>
      <w:r w:rsidR="006733FC" w:rsidRPr="00DD51CE">
        <w:rPr>
          <w:b/>
          <w:sz w:val="24"/>
          <w:szCs w:val="24"/>
        </w:rPr>
        <w:t xml:space="preserve"> na ubytování jsou způsobilé v přímé souvislosti se vzdělávacími aktivitami</w:t>
      </w:r>
      <w:r w:rsidR="006733FC" w:rsidRPr="00DD51CE">
        <w:rPr>
          <w:b/>
          <w:sz w:val="24"/>
          <w:szCs w:val="24"/>
          <w:vertAlign w:val="superscript"/>
        </w:rPr>
        <w:footnoteReference w:id="21"/>
      </w:r>
      <w:r w:rsidR="006733FC" w:rsidRPr="00DD51CE">
        <w:rPr>
          <w:b/>
          <w:sz w:val="24"/>
          <w:szCs w:val="24"/>
        </w:rPr>
        <w:t xml:space="preserve"> při dodržení následujících podmínek: </w:t>
      </w:r>
      <w:r w:rsidRPr="00DD51CE">
        <w:rPr>
          <w:b/>
          <w:sz w:val="24"/>
          <w:szCs w:val="24"/>
        </w:rPr>
        <w:t>Výdaje</w:t>
      </w:r>
      <w:r w:rsidR="006733FC" w:rsidRPr="00DD51CE">
        <w:rPr>
          <w:b/>
          <w:sz w:val="24"/>
          <w:szCs w:val="24"/>
        </w:rPr>
        <w:t xml:space="preserve"> na ubytování </w:t>
      </w:r>
      <w:r w:rsidR="006733FC" w:rsidRPr="00DD51CE">
        <w:rPr>
          <w:sz w:val="24"/>
          <w:szCs w:val="24"/>
        </w:rPr>
        <w:t xml:space="preserve">v úrovni cen místně obvyklých do výše skutečně vzniklých a proplacených </w:t>
      </w:r>
      <w:r w:rsidRPr="00DD51CE">
        <w:rPr>
          <w:sz w:val="24"/>
          <w:szCs w:val="24"/>
        </w:rPr>
        <w:t>výdajů</w:t>
      </w:r>
      <w:r w:rsidR="006733FC" w:rsidRPr="00DD51CE">
        <w:rPr>
          <w:sz w:val="24"/>
          <w:szCs w:val="24"/>
        </w:rPr>
        <w:t xml:space="preserve"> vzniklých v</w:t>
      </w:r>
      <w:r w:rsidR="00845DB5">
        <w:rPr>
          <w:sz w:val="24"/>
          <w:szCs w:val="24"/>
        </w:rPr>
        <w:t> </w:t>
      </w:r>
      <w:r w:rsidR="006733FC" w:rsidRPr="00DD51CE">
        <w:rPr>
          <w:sz w:val="24"/>
          <w:szCs w:val="24"/>
        </w:rPr>
        <w:t>souvislosti se vzdělávacími aktivitami</w:t>
      </w:r>
      <w:r w:rsidR="00CB4716" w:rsidRPr="00DD51CE">
        <w:rPr>
          <w:rStyle w:val="Znakapoznpodarou"/>
          <w:sz w:val="24"/>
          <w:szCs w:val="24"/>
        </w:rPr>
        <w:footnoteReference w:id="22"/>
      </w:r>
      <w:r w:rsidR="006733FC" w:rsidRPr="00DD51CE">
        <w:rPr>
          <w:sz w:val="24"/>
          <w:szCs w:val="24"/>
        </w:rPr>
        <w:t>, maximálně však do výše 920</w:t>
      </w:r>
      <w:r w:rsidR="00054919">
        <w:rPr>
          <w:sz w:val="24"/>
          <w:szCs w:val="24"/>
        </w:rPr>
        <w:t>,-</w:t>
      </w:r>
      <w:r w:rsidR="006733FC" w:rsidRPr="00DD51CE">
        <w:rPr>
          <w:sz w:val="24"/>
          <w:szCs w:val="24"/>
        </w:rPr>
        <w:t xml:space="preserve"> Kč </w:t>
      </w:r>
      <w:r w:rsidR="00CA5759">
        <w:rPr>
          <w:sz w:val="24"/>
          <w:szCs w:val="24"/>
        </w:rPr>
        <w:t xml:space="preserve">(vč. DPH </w:t>
      </w:r>
      <w:r w:rsidR="00CA5759">
        <w:rPr>
          <w:sz w:val="24"/>
          <w:szCs w:val="24"/>
        </w:rPr>
        <w:lastRenderedPageBreak/>
        <w:t xml:space="preserve">a poplatku z pobytu) </w:t>
      </w:r>
      <w:r w:rsidR="006733FC" w:rsidRPr="00DD51CE">
        <w:rPr>
          <w:sz w:val="24"/>
          <w:szCs w:val="24"/>
        </w:rPr>
        <w:t>za jednu noc. V případě úhrady ubytování za delší období (tj. i</w:t>
      </w:r>
      <w:r w:rsidR="00081DA1">
        <w:rPr>
          <w:sz w:val="24"/>
          <w:szCs w:val="24"/>
        </w:rPr>
        <w:t> </w:t>
      </w:r>
      <w:r w:rsidR="006733FC" w:rsidRPr="00DD51CE">
        <w:rPr>
          <w:sz w:val="24"/>
          <w:szCs w:val="24"/>
        </w:rPr>
        <w:t>za období, které přímo nesouvisí se vzdělávacími aktivitami) se přihlíží k</w:t>
      </w:r>
      <w:r w:rsidRPr="00DD51CE">
        <w:rPr>
          <w:sz w:val="24"/>
          <w:szCs w:val="24"/>
        </w:rPr>
        <w:t> </w:t>
      </w:r>
      <w:r w:rsidR="006733FC" w:rsidRPr="00DD51CE">
        <w:rPr>
          <w:sz w:val="24"/>
          <w:szCs w:val="24"/>
        </w:rPr>
        <w:t>průměrné ceně za jednu noc, která se následně porovná s limitem ve výši 920</w:t>
      </w:r>
      <w:r w:rsidR="00054919">
        <w:rPr>
          <w:sz w:val="24"/>
          <w:szCs w:val="24"/>
        </w:rPr>
        <w:t>,-</w:t>
      </w:r>
      <w:r w:rsidR="006733FC" w:rsidRPr="00DD51CE">
        <w:rPr>
          <w:sz w:val="24"/>
          <w:szCs w:val="24"/>
        </w:rPr>
        <w:t xml:space="preserve"> Kč za jednu noc, </w:t>
      </w:r>
      <w:r w:rsidR="006733FC" w:rsidRPr="00081DA1">
        <w:rPr>
          <w:sz w:val="24"/>
          <w:szCs w:val="24"/>
        </w:rPr>
        <w:t>a</w:t>
      </w:r>
      <w:r w:rsidR="00081DA1" w:rsidRPr="00081DA1">
        <w:rPr>
          <w:sz w:val="24"/>
          <w:szCs w:val="24"/>
        </w:rPr>
        <w:t> </w:t>
      </w:r>
      <w:r w:rsidR="006733FC" w:rsidRPr="00081DA1">
        <w:rPr>
          <w:sz w:val="24"/>
          <w:szCs w:val="24"/>
        </w:rPr>
        <w:t>následně</w:t>
      </w:r>
      <w:r w:rsidR="006733FC" w:rsidRPr="00DD51CE">
        <w:rPr>
          <w:sz w:val="24"/>
          <w:szCs w:val="24"/>
        </w:rPr>
        <w:t xml:space="preserve"> se touto průměrnou cenou (maximálně však částkou ve výši limitu) vynásobí počet nocí ubytování v přímé souvislosti se vzdělávací aktivitou.</w:t>
      </w:r>
    </w:p>
    <w:p w14:paraId="07EFDB33" w14:textId="77777777" w:rsidR="004255D9" w:rsidRPr="00DD51CE" w:rsidRDefault="006733FC" w:rsidP="00112ABE">
      <w:pPr>
        <w:keepLines/>
        <w:spacing w:before="240" w:after="120" w:line="240" w:lineRule="auto"/>
        <w:jc w:val="both"/>
        <w:rPr>
          <w:sz w:val="24"/>
          <w:szCs w:val="24"/>
        </w:rPr>
      </w:pPr>
      <w:r w:rsidRPr="00DD51CE">
        <w:rPr>
          <w:sz w:val="24"/>
          <w:szCs w:val="24"/>
        </w:rPr>
        <w:t>V případě, že se vzdělávací aktivita koná ve stejné obci jako je místo výkonu práce, resp. pravidelného pracoviště, není ubytování způsobilým výdajem.</w:t>
      </w:r>
    </w:p>
    <w:p w14:paraId="17B8F89D" w14:textId="77777777" w:rsidR="004255D9" w:rsidRPr="00DD51CE" w:rsidRDefault="006733FC" w:rsidP="00112ABE">
      <w:pPr>
        <w:keepLines/>
        <w:spacing w:before="240" w:after="120" w:line="240" w:lineRule="auto"/>
        <w:jc w:val="both"/>
        <w:rPr>
          <w:sz w:val="24"/>
          <w:szCs w:val="24"/>
        </w:rPr>
      </w:pPr>
      <w:r w:rsidRPr="00DD51CE">
        <w:rPr>
          <w:sz w:val="24"/>
          <w:szCs w:val="24"/>
        </w:rPr>
        <w:t>Je doporučeno hradit ubytování přímo Příjemcem bezhotovostně, tj. ne účastníkem.</w:t>
      </w:r>
      <w:r w:rsidRPr="00DD51CE">
        <w:rPr>
          <w:sz w:val="24"/>
          <w:szCs w:val="24"/>
        </w:rPr>
        <w:br/>
      </w:r>
    </w:p>
    <w:p w14:paraId="2E2664A5" w14:textId="1500E563" w:rsidR="004255D9" w:rsidRPr="00B930FE" w:rsidRDefault="006733FC" w:rsidP="00B930FE">
      <w:pPr>
        <w:pStyle w:val="Nadpis3"/>
      </w:pPr>
      <w:bookmarkStart w:id="14" w:name="_Toc32407795"/>
      <w:r w:rsidRPr="00B930FE">
        <w:t xml:space="preserve">2.3.3 </w:t>
      </w:r>
      <w:r w:rsidR="00ED26C3" w:rsidRPr="00B930FE">
        <w:t>Výdaje</w:t>
      </w:r>
      <w:r w:rsidRPr="00B930FE">
        <w:t xml:space="preserve"> na vzdělávací aktivity</w:t>
      </w:r>
      <w:bookmarkEnd w:id="14"/>
    </w:p>
    <w:p w14:paraId="11EFDDF8" w14:textId="6E5CE9C4" w:rsidR="004255D9" w:rsidRDefault="006733FC" w:rsidP="00DD51CE">
      <w:pPr>
        <w:pStyle w:val="Nzev"/>
        <w:spacing w:before="240" w:after="120"/>
        <w:jc w:val="both"/>
        <w:rPr>
          <w:sz w:val="24"/>
          <w:szCs w:val="24"/>
        </w:rPr>
      </w:pPr>
      <w:bookmarkStart w:id="15" w:name="_42s9d2wbugiv" w:colFirst="0" w:colLast="0"/>
      <w:bookmarkEnd w:id="15"/>
      <w:r w:rsidRPr="00DD51CE">
        <w:rPr>
          <w:sz w:val="24"/>
          <w:szCs w:val="24"/>
        </w:rPr>
        <w:t xml:space="preserve">Způsobilým výdajem na vzdělávací aktivity je nákup povinných a doporučených kurzů a povinných praxí dle </w:t>
      </w:r>
      <w:r w:rsidR="00ED26C3" w:rsidRPr="00DD51CE">
        <w:rPr>
          <w:sz w:val="24"/>
          <w:szCs w:val="24"/>
        </w:rPr>
        <w:t>IVP</w:t>
      </w:r>
      <w:r w:rsidRPr="00DD51CE">
        <w:rPr>
          <w:sz w:val="24"/>
          <w:szCs w:val="24"/>
        </w:rPr>
        <w:t xml:space="preserve"> či jejich zajištění</w:t>
      </w:r>
      <w:r w:rsidRPr="00DD51CE">
        <w:rPr>
          <w:sz w:val="24"/>
          <w:szCs w:val="24"/>
          <w:vertAlign w:val="superscript"/>
        </w:rPr>
        <w:footnoteReference w:id="23"/>
      </w:r>
      <w:r w:rsidRPr="00DD51CE">
        <w:rPr>
          <w:sz w:val="24"/>
          <w:szCs w:val="24"/>
        </w:rPr>
        <w:t xml:space="preserve"> Příjemcem. </w:t>
      </w:r>
    </w:p>
    <w:p w14:paraId="7D80FE68" w14:textId="77777777" w:rsidR="00112ABE" w:rsidRPr="00112ABE" w:rsidRDefault="00112ABE" w:rsidP="00112ABE"/>
    <w:p w14:paraId="56BBF7F1" w14:textId="50F54F25" w:rsidR="004255D9" w:rsidRPr="00B930FE" w:rsidRDefault="006733FC" w:rsidP="00B930FE">
      <w:pPr>
        <w:pStyle w:val="Nadpis4"/>
      </w:pPr>
      <w:bookmarkStart w:id="16" w:name="_Toc32407796"/>
      <w:r w:rsidRPr="00B930FE">
        <w:t>2.</w:t>
      </w:r>
      <w:r w:rsidR="00C97833" w:rsidRPr="00B930FE">
        <w:t>3.</w:t>
      </w:r>
      <w:r w:rsidRPr="00B930FE">
        <w:t>3.1 Rozlišení Příjemců</w:t>
      </w:r>
      <w:bookmarkEnd w:id="16"/>
    </w:p>
    <w:p w14:paraId="0423CBB8" w14:textId="645A171B" w:rsidR="004255D9" w:rsidRPr="00DD51CE" w:rsidRDefault="006733FC" w:rsidP="00DD51CE">
      <w:pPr>
        <w:spacing w:before="240" w:after="120" w:line="240" w:lineRule="auto"/>
        <w:jc w:val="both"/>
        <w:rPr>
          <w:sz w:val="24"/>
          <w:szCs w:val="24"/>
        </w:rPr>
      </w:pPr>
      <w:r w:rsidRPr="00DD51CE">
        <w:rPr>
          <w:sz w:val="24"/>
          <w:szCs w:val="24"/>
        </w:rPr>
        <w:t xml:space="preserve">V případě vzdělávacích aktivit se rozlišuje, zda je Příjemce zároveň </w:t>
      </w:r>
      <w:r w:rsidR="001B2E6C" w:rsidRPr="00DD51CE">
        <w:rPr>
          <w:sz w:val="24"/>
          <w:szCs w:val="24"/>
        </w:rPr>
        <w:t>V</w:t>
      </w:r>
      <w:r w:rsidRPr="00DD51CE">
        <w:rPr>
          <w:sz w:val="24"/>
          <w:szCs w:val="24"/>
        </w:rPr>
        <w:t>zdělávacím pracovištěm (</w:t>
      </w:r>
      <w:r w:rsidR="00B0657C" w:rsidRPr="00DD51CE">
        <w:rPr>
          <w:sz w:val="24"/>
          <w:szCs w:val="24"/>
        </w:rPr>
        <w:t>FN Motol, FN Brno, Thomayerova nemocnice, FN Ostrava</w:t>
      </w:r>
      <w:r w:rsidRPr="00DD51CE">
        <w:rPr>
          <w:sz w:val="24"/>
          <w:szCs w:val="24"/>
        </w:rPr>
        <w:t>)</w:t>
      </w:r>
      <w:r w:rsidR="00255523">
        <w:rPr>
          <w:sz w:val="24"/>
          <w:szCs w:val="24"/>
        </w:rPr>
        <w:t>,</w:t>
      </w:r>
      <w:r w:rsidRPr="00DD51CE">
        <w:rPr>
          <w:sz w:val="24"/>
          <w:szCs w:val="24"/>
        </w:rPr>
        <w:t xml:space="preserve"> nebo není. </w:t>
      </w:r>
    </w:p>
    <w:p w14:paraId="7D4B7E0E" w14:textId="67522AC1" w:rsidR="001B2E6C" w:rsidRPr="00DD51CE" w:rsidRDefault="006733FC" w:rsidP="00DE45DF">
      <w:pPr>
        <w:numPr>
          <w:ilvl w:val="0"/>
          <w:numId w:val="2"/>
        </w:numPr>
        <w:spacing w:before="240" w:after="120" w:line="240" w:lineRule="auto"/>
        <w:ind w:left="426"/>
        <w:jc w:val="both"/>
        <w:rPr>
          <w:b/>
          <w:sz w:val="24"/>
          <w:szCs w:val="24"/>
        </w:rPr>
      </w:pPr>
      <w:r w:rsidRPr="00DD51CE">
        <w:rPr>
          <w:b/>
          <w:sz w:val="24"/>
          <w:szCs w:val="24"/>
        </w:rPr>
        <w:t xml:space="preserve">Příjemce je </w:t>
      </w:r>
      <w:r w:rsidR="001B2E6C" w:rsidRPr="00DD51CE">
        <w:rPr>
          <w:b/>
          <w:sz w:val="24"/>
          <w:szCs w:val="24"/>
        </w:rPr>
        <w:t>Vzdělávací</w:t>
      </w:r>
      <w:r w:rsidRPr="00DD51CE">
        <w:rPr>
          <w:b/>
          <w:sz w:val="24"/>
          <w:szCs w:val="24"/>
        </w:rPr>
        <w:t xml:space="preserve">m pracovištěm: </w:t>
      </w:r>
    </w:p>
    <w:p w14:paraId="48573114" w14:textId="47ABF118" w:rsidR="001B2E6C"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 xml:space="preserve">V případě, že je Příjemce zároveň i </w:t>
      </w:r>
      <w:r w:rsidR="001B2E6C" w:rsidRPr="00DD51CE">
        <w:rPr>
          <w:sz w:val="24"/>
          <w:szCs w:val="24"/>
        </w:rPr>
        <w:t>V</w:t>
      </w:r>
      <w:r w:rsidRPr="00DD51CE">
        <w:rPr>
          <w:sz w:val="24"/>
          <w:szCs w:val="24"/>
        </w:rPr>
        <w:t xml:space="preserve">zdělávacím pracovištěm, je účastník povinen absolvovat </w:t>
      </w:r>
      <w:r w:rsidRPr="00DD51CE">
        <w:rPr>
          <w:b/>
          <w:bCs/>
          <w:sz w:val="24"/>
          <w:szCs w:val="24"/>
        </w:rPr>
        <w:t>praxi</w:t>
      </w:r>
      <w:r w:rsidRPr="00DD51CE">
        <w:rPr>
          <w:sz w:val="24"/>
          <w:szCs w:val="24"/>
        </w:rPr>
        <w:t xml:space="preserve"> u daného Příjemce, tj. u svého zaměstnavatele. </w:t>
      </w:r>
    </w:p>
    <w:p w14:paraId="06F2B13B" w14:textId="1DCF83E5" w:rsidR="001B2E6C"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 xml:space="preserve">V případě, že je Příjemce zároveň i </w:t>
      </w:r>
      <w:r w:rsidR="001B2E6C" w:rsidRPr="00DD51CE">
        <w:rPr>
          <w:sz w:val="24"/>
          <w:szCs w:val="24"/>
        </w:rPr>
        <w:t>V</w:t>
      </w:r>
      <w:r w:rsidRPr="00DD51CE">
        <w:rPr>
          <w:sz w:val="24"/>
          <w:szCs w:val="24"/>
        </w:rPr>
        <w:t xml:space="preserve">zdělávacím pracovištěm, je účastník povinen přednostně absolvovat doporučené </w:t>
      </w:r>
      <w:r w:rsidRPr="00DD51CE">
        <w:rPr>
          <w:b/>
          <w:bCs/>
          <w:sz w:val="24"/>
          <w:szCs w:val="24"/>
        </w:rPr>
        <w:t>kurzy</w:t>
      </w:r>
      <w:r w:rsidRPr="00DD51CE">
        <w:rPr>
          <w:sz w:val="24"/>
          <w:szCs w:val="24"/>
        </w:rPr>
        <w:t xml:space="preserve"> u Příjemce. V případě, že v dané době Příjemce daný kurz nerealizuje, může jej účastník absolvovat i</w:t>
      </w:r>
      <w:r w:rsidR="00845DB5">
        <w:rPr>
          <w:sz w:val="24"/>
          <w:szCs w:val="24"/>
        </w:rPr>
        <w:t> </w:t>
      </w:r>
      <w:r w:rsidRPr="00DD51CE">
        <w:rPr>
          <w:sz w:val="24"/>
          <w:szCs w:val="24"/>
        </w:rPr>
        <w:t>u</w:t>
      </w:r>
      <w:r w:rsidR="00845DB5">
        <w:rPr>
          <w:sz w:val="24"/>
          <w:szCs w:val="24"/>
        </w:rPr>
        <w:t> </w:t>
      </w:r>
      <w:r w:rsidRPr="00DD51CE">
        <w:rPr>
          <w:sz w:val="24"/>
          <w:szCs w:val="24"/>
        </w:rPr>
        <w:t xml:space="preserve">jiného </w:t>
      </w:r>
      <w:r w:rsidR="001B2E6C" w:rsidRPr="00DD51CE">
        <w:rPr>
          <w:sz w:val="24"/>
          <w:szCs w:val="24"/>
        </w:rPr>
        <w:t>V</w:t>
      </w:r>
      <w:r w:rsidRPr="00DD51CE">
        <w:rPr>
          <w:sz w:val="24"/>
          <w:szCs w:val="24"/>
        </w:rPr>
        <w:t xml:space="preserve">zdělávacího pracoviště. </w:t>
      </w:r>
    </w:p>
    <w:p w14:paraId="6C4B0C49" w14:textId="2785DEE1" w:rsidR="004255D9"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Povinné kurzy absolvuje účastník u IPVZ.</w:t>
      </w:r>
    </w:p>
    <w:p w14:paraId="11C393B4" w14:textId="77777777" w:rsidR="001B2E6C" w:rsidRPr="00DD51CE" w:rsidRDefault="006733FC" w:rsidP="00DE45DF">
      <w:pPr>
        <w:numPr>
          <w:ilvl w:val="0"/>
          <w:numId w:val="2"/>
        </w:numPr>
        <w:spacing w:before="240" w:after="120" w:line="240" w:lineRule="auto"/>
        <w:ind w:left="426"/>
        <w:jc w:val="both"/>
        <w:rPr>
          <w:sz w:val="24"/>
          <w:szCs w:val="24"/>
        </w:rPr>
      </w:pPr>
      <w:r w:rsidRPr="00DD51CE">
        <w:rPr>
          <w:b/>
          <w:sz w:val="24"/>
          <w:szCs w:val="24"/>
        </w:rPr>
        <w:t xml:space="preserve">Příjemce není </w:t>
      </w:r>
      <w:r w:rsidR="001B2E6C" w:rsidRPr="00DD51CE">
        <w:rPr>
          <w:b/>
          <w:sz w:val="24"/>
          <w:szCs w:val="24"/>
        </w:rPr>
        <w:t>Vzdělávací</w:t>
      </w:r>
      <w:r w:rsidRPr="00DD51CE">
        <w:rPr>
          <w:b/>
          <w:sz w:val="24"/>
          <w:szCs w:val="24"/>
        </w:rPr>
        <w:t xml:space="preserve">m pracovištěm: </w:t>
      </w:r>
    </w:p>
    <w:p w14:paraId="61D87EED" w14:textId="77777777" w:rsidR="001B2E6C"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 xml:space="preserve">V případě, že Příjemce není zároveň </w:t>
      </w:r>
      <w:r w:rsidR="001B2E6C" w:rsidRPr="00DD51CE">
        <w:rPr>
          <w:sz w:val="24"/>
          <w:szCs w:val="24"/>
        </w:rPr>
        <w:t>Vzdělávací</w:t>
      </w:r>
      <w:r w:rsidRPr="00DD51CE">
        <w:rPr>
          <w:sz w:val="24"/>
          <w:szCs w:val="24"/>
        </w:rPr>
        <w:t>m pracovištěm, může účastník absolvovat praxi a</w:t>
      </w:r>
      <w:r w:rsidR="001B2E6C" w:rsidRPr="00DD51CE">
        <w:rPr>
          <w:sz w:val="24"/>
          <w:szCs w:val="24"/>
        </w:rPr>
        <w:t> </w:t>
      </w:r>
      <w:r w:rsidRPr="00DD51CE">
        <w:rPr>
          <w:sz w:val="24"/>
          <w:szCs w:val="24"/>
        </w:rPr>
        <w:t xml:space="preserve">doporučené kurzy dle svého IVP u kteréhokoliv </w:t>
      </w:r>
      <w:r w:rsidR="001B2E6C" w:rsidRPr="00DD51CE">
        <w:rPr>
          <w:sz w:val="24"/>
          <w:szCs w:val="24"/>
        </w:rPr>
        <w:t>Vzdělávací</w:t>
      </w:r>
      <w:r w:rsidRPr="00DD51CE">
        <w:rPr>
          <w:sz w:val="24"/>
          <w:szCs w:val="24"/>
        </w:rPr>
        <w:t xml:space="preserve">ho pracoviště. </w:t>
      </w:r>
    </w:p>
    <w:p w14:paraId="16234070" w14:textId="0CA18E99" w:rsidR="004255D9"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Povinné kurzy absolvuje účastník u IPVZ.</w:t>
      </w:r>
    </w:p>
    <w:p w14:paraId="2CE843F2" w14:textId="77777777" w:rsidR="00112ABE" w:rsidRPr="00DD51CE" w:rsidRDefault="00112ABE" w:rsidP="00112ABE">
      <w:pPr>
        <w:pStyle w:val="Odstavecseseznamem"/>
        <w:spacing w:before="240" w:after="120" w:line="240" w:lineRule="auto"/>
        <w:ind w:left="851"/>
        <w:jc w:val="both"/>
        <w:rPr>
          <w:sz w:val="24"/>
          <w:szCs w:val="24"/>
        </w:rPr>
      </w:pPr>
    </w:p>
    <w:p w14:paraId="7D1E68ED" w14:textId="4480D157" w:rsidR="004255D9" w:rsidRPr="00B930FE" w:rsidRDefault="006733FC" w:rsidP="00B930FE">
      <w:pPr>
        <w:pStyle w:val="Nadpis4"/>
      </w:pPr>
      <w:bookmarkStart w:id="17" w:name="_Toc32407797"/>
      <w:r w:rsidRPr="00B930FE">
        <w:t>2.3</w:t>
      </w:r>
      <w:r w:rsidR="00C97833" w:rsidRPr="00B930FE">
        <w:t>.3</w:t>
      </w:r>
      <w:r w:rsidRPr="00B930FE">
        <w:t>.2 Maximální limity pro vzdělávací aktivity</w:t>
      </w:r>
      <w:bookmarkEnd w:id="17"/>
    </w:p>
    <w:tbl>
      <w:tblPr>
        <w:tblStyle w:val="a4"/>
        <w:tblW w:w="97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635"/>
      </w:tblGrid>
      <w:tr w:rsidR="004255D9" w:rsidRPr="00DD51CE" w14:paraId="291A69C8" w14:textId="77777777" w:rsidTr="000D1006">
        <w:tc>
          <w:tcPr>
            <w:tcW w:w="7083" w:type="dxa"/>
          </w:tcPr>
          <w:p w14:paraId="76E6B87E" w14:textId="22046A7F" w:rsidR="004255D9" w:rsidRPr="00DD51CE" w:rsidRDefault="006733FC" w:rsidP="00DD51CE">
            <w:pPr>
              <w:widowControl/>
              <w:spacing w:after="120" w:line="240" w:lineRule="auto"/>
              <w:rPr>
                <w:b/>
                <w:sz w:val="24"/>
                <w:szCs w:val="24"/>
              </w:rPr>
            </w:pPr>
            <w:r w:rsidRPr="000D65D2">
              <w:rPr>
                <w:sz w:val="24"/>
                <w:szCs w:val="24"/>
              </w:rPr>
              <w:t>V obou případech (ať Příjemce je</w:t>
            </w:r>
            <w:r w:rsidR="00255523" w:rsidRPr="000D65D2">
              <w:rPr>
                <w:sz w:val="24"/>
                <w:szCs w:val="24"/>
              </w:rPr>
              <w:t>,</w:t>
            </w:r>
            <w:r w:rsidRPr="000D65D2">
              <w:rPr>
                <w:sz w:val="24"/>
                <w:szCs w:val="24"/>
              </w:rPr>
              <w:t xml:space="preserve"> či není </w:t>
            </w:r>
            <w:r w:rsidR="001B2E6C" w:rsidRPr="000D65D2">
              <w:rPr>
                <w:sz w:val="24"/>
                <w:szCs w:val="24"/>
              </w:rPr>
              <w:t>Vzdělávací</w:t>
            </w:r>
            <w:r w:rsidRPr="000D65D2">
              <w:rPr>
                <w:sz w:val="24"/>
                <w:szCs w:val="24"/>
              </w:rPr>
              <w:t xml:space="preserve">m pracovištěm) jsou stanoveny maximální limity pro vzdělávací aktivity: Jedná se o maximální částku, která může být uznána jako způsobilá za kurz za jednoho účastníka, příp. za </w:t>
            </w:r>
            <w:r w:rsidR="004B5367" w:rsidRPr="000D65D2">
              <w:rPr>
                <w:sz w:val="24"/>
                <w:szCs w:val="24"/>
              </w:rPr>
              <w:t xml:space="preserve">hod / </w:t>
            </w:r>
            <w:r w:rsidRPr="000D65D2">
              <w:rPr>
                <w:sz w:val="24"/>
                <w:szCs w:val="24"/>
              </w:rPr>
              <w:t>den</w:t>
            </w:r>
            <w:r w:rsidR="004B5367" w:rsidRPr="000D65D2">
              <w:rPr>
                <w:sz w:val="24"/>
                <w:szCs w:val="24"/>
              </w:rPr>
              <w:t xml:space="preserve"> </w:t>
            </w:r>
            <w:r w:rsidRPr="000D65D2">
              <w:rPr>
                <w:sz w:val="24"/>
                <w:szCs w:val="24"/>
              </w:rPr>
              <w:t>/</w:t>
            </w:r>
            <w:r w:rsidR="004B5367" w:rsidRPr="000D65D2">
              <w:rPr>
                <w:sz w:val="24"/>
                <w:szCs w:val="24"/>
              </w:rPr>
              <w:t xml:space="preserve"> </w:t>
            </w:r>
            <w:r w:rsidRPr="000D65D2">
              <w:rPr>
                <w:sz w:val="24"/>
                <w:szCs w:val="24"/>
              </w:rPr>
              <w:lastRenderedPageBreak/>
              <w:t xml:space="preserve">měsíc praxe za jednoho účastníka. Nejedná se o paušální cenu. </w:t>
            </w:r>
            <w:r w:rsidR="00F10EF6" w:rsidRPr="000D65D2">
              <w:rPr>
                <w:sz w:val="24"/>
                <w:szCs w:val="24"/>
              </w:rPr>
              <w:br w:type="page"/>
            </w:r>
            <w:r w:rsidRPr="00DD51CE">
              <w:rPr>
                <w:b/>
                <w:sz w:val="24"/>
                <w:szCs w:val="24"/>
              </w:rPr>
              <w:t>Vzdělávací aktivity: kurzy IPVZ</w:t>
            </w:r>
          </w:p>
        </w:tc>
        <w:tc>
          <w:tcPr>
            <w:tcW w:w="2635" w:type="dxa"/>
          </w:tcPr>
          <w:p w14:paraId="0C40B2DC" w14:textId="77777777" w:rsidR="004255D9" w:rsidRPr="00DD51CE" w:rsidRDefault="006733FC" w:rsidP="00DD51CE">
            <w:pPr>
              <w:widowControl/>
              <w:spacing w:after="120" w:line="240" w:lineRule="auto"/>
              <w:rPr>
                <w:b/>
                <w:sz w:val="24"/>
                <w:szCs w:val="24"/>
              </w:rPr>
            </w:pPr>
            <w:r w:rsidRPr="00DD51CE">
              <w:rPr>
                <w:b/>
                <w:sz w:val="24"/>
                <w:szCs w:val="24"/>
              </w:rPr>
              <w:lastRenderedPageBreak/>
              <w:t>Maximální cena za jednoho účastníka</w:t>
            </w:r>
          </w:p>
        </w:tc>
      </w:tr>
      <w:tr w:rsidR="004255D9" w:rsidRPr="00DD51CE" w14:paraId="628FCDD1" w14:textId="77777777" w:rsidTr="000D1006">
        <w:tc>
          <w:tcPr>
            <w:tcW w:w="7083" w:type="dxa"/>
          </w:tcPr>
          <w:p w14:paraId="7558D88C" w14:textId="21376BDB" w:rsidR="004255D9" w:rsidRPr="00DD51CE" w:rsidRDefault="006733FC" w:rsidP="00DD51CE">
            <w:pPr>
              <w:spacing w:after="120" w:line="240" w:lineRule="auto"/>
              <w:rPr>
                <w:sz w:val="24"/>
                <w:szCs w:val="24"/>
              </w:rPr>
            </w:pPr>
            <w:r w:rsidRPr="00DD51CE">
              <w:rPr>
                <w:sz w:val="24"/>
                <w:szCs w:val="24"/>
              </w:rPr>
              <w:t xml:space="preserve">KA1 </w:t>
            </w:r>
            <w:r w:rsidR="00DD77DB" w:rsidRPr="00DD51CE">
              <w:rPr>
                <w:sz w:val="24"/>
                <w:szCs w:val="24"/>
              </w:rPr>
              <w:t>–</w:t>
            </w:r>
            <w:r w:rsidRPr="00DD51CE">
              <w:rPr>
                <w:sz w:val="24"/>
                <w:szCs w:val="24"/>
              </w:rPr>
              <w:t xml:space="preserve"> Lékařská první pomoc</w:t>
            </w:r>
          </w:p>
        </w:tc>
        <w:tc>
          <w:tcPr>
            <w:tcW w:w="2635" w:type="dxa"/>
          </w:tcPr>
          <w:p w14:paraId="6C786A38" w14:textId="1C8A4213" w:rsidR="004255D9" w:rsidRPr="00DD51CE" w:rsidRDefault="0076320A" w:rsidP="00DD51CE">
            <w:pPr>
              <w:widowControl/>
              <w:spacing w:after="120" w:line="240" w:lineRule="auto"/>
              <w:rPr>
                <w:sz w:val="24"/>
                <w:szCs w:val="24"/>
              </w:rPr>
            </w:pPr>
            <w:proofErr w:type="gramStart"/>
            <w:r>
              <w:rPr>
                <w:sz w:val="24"/>
                <w:szCs w:val="24"/>
              </w:rPr>
              <w:t>4</w:t>
            </w:r>
            <w:r w:rsidR="006733FC" w:rsidRPr="00DD51CE">
              <w:rPr>
                <w:sz w:val="24"/>
                <w:szCs w:val="24"/>
              </w:rPr>
              <w:t>.000,-</w:t>
            </w:r>
            <w:proofErr w:type="gramEnd"/>
            <w:r w:rsidR="006733FC" w:rsidRPr="00DD51CE">
              <w:rPr>
                <w:sz w:val="24"/>
                <w:szCs w:val="24"/>
              </w:rPr>
              <w:t xml:space="preserve"> Kč/kurz</w:t>
            </w:r>
          </w:p>
        </w:tc>
      </w:tr>
      <w:tr w:rsidR="004255D9" w:rsidRPr="00DD51CE" w14:paraId="7265234F" w14:textId="77777777" w:rsidTr="000D1006">
        <w:tc>
          <w:tcPr>
            <w:tcW w:w="7083" w:type="dxa"/>
          </w:tcPr>
          <w:p w14:paraId="41D7C549" w14:textId="7F73FC55" w:rsidR="004255D9" w:rsidRPr="00DD51CE" w:rsidRDefault="006733FC" w:rsidP="00DD51CE">
            <w:pPr>
              <w:spacing w:after="120" w:line="240" w:lineRule="auto"/>
              <w:rPr>
                <w:sz w:val="24"/>
                <w:szCs w:val="24"/>
              </w:rPr>
            </w:pPr>
            <w:r w:rsidRPr="00DD51CE">
              <w:rPr>
                <w:sz w:val="24"/>
                <w:szCs w:val="24"/>
              </w:rPr>
              <w:t xml:space="preserve">KA2 </w:t>
            </w:r>
            <w:r w:rsidR="001844C2" w:rsidRPr="00DD51CE">
              <w:rPr>
                <w:sz w:val="24"/>
                <w:szCs w:val="24"/>
              </w:rPr>
              <w:t>–</w:t>
            </w:r>
            <w:r w:rsidRPr="00DD51CE">
              <w:rPr>
                <w:sz w:val="24"/>
                <w:szCs w:val="24"/>
              </w:rPr>
              <w:t xml:space="preserve"> Základy zdravotnické legislativy, etiky a komunikace</w:t>
            </w:r>
          </w:p>
        </w:tc>
        <w:tc>
          <w:tcPr>
            <w:tcW w:w="2635" w:type="dxa"/>
          </w:tcPr>
          <w:p w14:paraId="0DB84CC0" w14:textId="7F1583E7" w:rsidR="004255D9" w:rsidRPr="00DD51CE" w:rsidRDefault="006469B6" w:rsidP="00DD51CE">
            <w:pPr>
              <w:widowControl/>
              <w:spacing w:after="120" w:line="240" w:lineRule="auto"/>
              <w:rPr>
                <w:sz w:val="24"/>
                <w:szCs w:val="24"/>
              </w:rPr>
            </w:pPr>
            <w:proofErr w:type="gramStart"/>
            <w:r>
              <w:rPr>
                <w:sz w:val="24"/>
                <w:szCs w:val="24"/>
              </w:rPr>
              <w:t>3</w:t>
            </w:r>
            <w:r w:rsidR="006733FC" w:rsidRPr="00DD51CE">
              <w:rPr>
                <w:sz w:val="24"/>
                <w:szCs w:val="24"/>
              </w:rPr>
              <w:t>.200,-</w:t>
            </w:r>
            <w:proofErr w:type="gramEnd"/>
            <w:r w:rsidR="006733FC" w:rsidRPr="00DD51CE">
              <w:rPr>
                <w:sz w:val="24"/>
                <w:szCs w:val="24"/>
              </w:rPr>
              <w:t xml:space="preserve"> Kč/kurz</w:t>
            </w:r>
          </w:p>
        </w:tc>
      </w:tr>
      <w:tr w:rsidR="004255D9" w:rsidRPr="00DD51CE" w14:paraId="2D9A9B99" w14:textId="77777777" w:rsidTr="000D1006">
        <w:tc>
          <w:tcPr>
            <w:tcW w:w="7083" w:type="dxa"/>
          </w:tcPr>
          <w:p w14:paraId="2D088B6E" w14:textId="79F6BA95" w:rsidR="004255D9" w:rsidRPr="00DD51CE" w:rsidRDefault="006733FC" w:rsidP="00DD51CE">
            <w:pPr>
              <w:spacing w:after="120" w:line="240" w:lineRule="auto"/>
              <w:rPr>
                <w:sz w:val="24"/>
                <w:szCs w:val="24"/>
              </w:rPr>
            </w:pPr>
            <w:r w:rsidRPr="00DD51CE">
              <w:rPr>
                <w:sz w:val="24"/>
                <w:szCs w:val="24"/>
              </w:rPr>
              <w:t xml:space="preserve">KA3 </w:t>
            </w:r>
            <w:r w:rsidR="001844C2" w:rsidRPr="00DD51CE">
              <w:rPr>
                <w:sz w:val="24"/>
                <w:szCs w:val="24"/>
              </w:rPr>
              <w:t>–</w:t>
            </w:r>
            <w:r w:rsidRPr="00DD51CE">
              <w:rPr>
                <w:sz w:val="24"/>
                <w:szCs w:val="24"/>
              </w:rPr>
              <w:t xml:space="preserve"> Prevence škodlivého užívání </w:t>
            </w:r>
            <w:r w:rsidRPr="00DD51CE">
              <w:rPr>
                <w:rFonts w:eastAsia="Calibri"/>
                <w:sz w:val="24"/>
                <w:szCs w:val="24"/>
              </w:rPr>
              <w:t xml:space="preserve">návykových látek </w:t>
            </w:r>
            <w:r w:rsidRPr="00DD51CE">
              <w:rPr>
                <w:sz w:val="24"/>
                <w:szCs w:val="24"/>
              </w:rPr>
              <w:t>a léčba závislosti</w:t>
            </w:r>
          </w:p>
        </w:tc>
        <w:tc>
          <w:tcPr>
            <w:tcW w:w="2635" w:type="dxa"/>
          </w:tcPr>
          <w:p w14:paraId="3BD9CD02" w14:textId="77722D2D" w:rsidR="004255D9" w:rsidRPr="00DD51CE" w:rsidRDefault="006733FC" w:rsidP="00DD51CE">
            <w:pPr>
              <w:widowControl/>
              <w:spacing w:after="120" w:line="240" w:lineRule="auto"/>
              <w:rPr>
                <w:sz w:val="24"/>
                <w:szCs w:val="24"/>
              </w:rPr>
            </w:pPr>
            <w:proofErr w:type="gramStart"/>
            <w:r w:rsidRPr="00DD51CE">
              <w:rPr>
                <w:sz w:val="24"/>
                <w:szCs w:val="24"/>
              </w:rPr>
              <w:t>1.</w:t>
            </w:r>
            <w:r w:rsidR="006469B6">
              <w:rPr>
                <w:sz w:val="24"/>
                <w:szCs w:val="24"/>
              </w:rPr>
              <w:t>6</w:t>
            </w:r>
            <w:r w:rsidRPr="00DD51CE">
              <w:rPr>
                <w:sz w:val="24"/>
                <w:szCs w:val="24"/>
              </w:rPr>
              <w:t>00,-</w:t>
            </w:r>
            <w:proofErr w:type="gramEnd"/>
            <w:r w:rsidRPr="00DD51CE">
              <w:rPr>
                <w:sz w:val="24"/>
                <w:szCs w:val="24"/>
              </w:rPr>
              <w:t xml:space="preserve"> Kč/kurz</w:t>
            </w:r>
          </w:p>
        </w:tc>
      </w:tr>
      <w:tr w:rsidR="004255D9" w:rsidRPr="00DD51CE" w14:paraId="289206B0" w14:textId="77777777" w:rsidTr="000D1006">
        <w:tc>
          <w:tcPr>
            <w:tcW w:w="7083" w:type="dxa"/>
          </w:tcPr>
          <w:p w14:paraId="1F4FF634" w14:textId="61E1E5B2" w:rsidR="004255D9" w:rsidRPr="00DD51CE" w:rsidRDefault="006733FC" w:rsidP="00DD51CE">
            <w:pPr>
              <w:spacing w:after="120" w:line="240" w:lineRule="auto"/>
              <w:rPr>
                <w:sz w:val="24"/>
                <w:szCs w:val="24"/>
              </w:rPr>
            </w:pPr>
            <w:r w:rsidRPr="00DD51CE">
              <w:rPr>
                <w:sz w:val="24"/>
                <w:szCs w:val="24"/>
              </w:rPr>
              <w:t xml:space="preserve">KA4 </w:t>
            </w:r>
            <w:r w:rsidR="001844C2" w:rsidRPr="00DD51CE">
              <w:rPr>
                <w:sz w:val="24"/>
                <w:szCs w:val="24"/>
              </w:rPr>
              <w:t>–</w:t>
            </w:r>
            <w:r w:rsidRPr="00DD51CE">
              <w:rPr>
                <w:sz w:val="24"/>
                <w:szCs w:val="24"/>
              </w:rPr>
              <w:t xml:space="preserve"> Radiační ochrana</w:t>
            </w:r>
          </w:p>
        </w:tc>
        <w:tc>
          <w:tcPr>
            <w:tcW w:w="2635" w:type="dxa"/>
          </w:tcPr>
          <w:p w14:paraId="59A4F684" w14:textId="5D4E3669" w:rsidR="004255D9" w:rsidRPr="00DD51CE" w:rsidRDefault="006733FC" w:rsidP="00DD51CE">
            <w:pPr>
              <w:widowControl/>
              <w:spacing w:after="120" w:line="240" w:lineRule="auto"/>
              <w:rPr>
                <w:sz w:val="24"/>
                <w:szCs w:val="24"/>
              </w:rPr>
            </w:pPr>
            <w:proofErr w:type="gramStart"/>
            <w:r w:rsidRPr="00DD51CE">
              <w:rPr>
                <w:sz w:val="24"/>
                <w:szCs w:val="24"/>
              </w:rPr>
              <w:t>1.</w:t>
            </w:r>
            <w:r w:rsidR="006469B6">
              <w:rPr>
                <w:sz w:val="24"/>
                <w:szCs w:val="24"/>
              </w:rPr>
              <w:t>6</w:t>
            </w:r>
            <w:r w:rsidRPr="00DD51CE">
              <w:rPr>
                <w:sz w:val="24"/>
                <w:szCs w:val="24"/>
              </w:rPr>
              <w:t>00,-</w:t>
            </w:r>
            <w:proofErr w:type="gramEnd"/>
            <w:r w:rsidRPr="00DD51CE">
              <w:rPr>
                <w:sz w:val="24"/>
                <w:szCs w:val="24"/>
              </w:rPr>
              <w:t xml:space="preserve"> Kč/kurz</w:t>
            </w:r>
          </w:p>
        </w:tc>
      </w:tr>
    </w:tbl>
    <w:p w14:paraId="05175486" w14:textId="77777777" w:rsidR="004255D9" w:rsidRPr="00DD51CE" w:rsidRDefault="004255D9" w:rsidP="00DD51CE">
      <w:pPr>
        <w:spacing w:after="120" w:line="240" w:lineRule="auto"/>
        <w:ind w:left="708"/>
        <w:rPr>
          <w:sz w:val="24"/>
          <w:szCs w:val="24"/>
        </w:rPr>
      </w:pPr>
    </w:p>
    <w:tbl>
      <w:tblPr>
        <w:tblStyle w:val="a5"/>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637"/>
      </w:tblGrid>
      <w:tr w:rsidR="004255D9" w:rsidRPr="00DD51CE" w14:paraId="461E3660" w14:textId="77777777" w:rsidTr="000D1006">
        <w:tc>
          <w:tcPr>
            <w:tcW w:w="7083" w:type="dxa"/>
          </w:tcPr>
          <w:p w14:paraId="6B125033" w14:textId="77777777" w:rsidR="004255D9" w:rsidRPr="00DD51CE" w:rsidRDefault="006733FC" w:rsidP="00DD51CE">
            <w:pPr>
              <w:widowControl/>
              <w:spacing w:after="120" w:line="240" w:lineRule="auto"/>
              <w:rPr>
                <w:b/>
                <w:sz w:val="24"/>
                <w:szCs w:val="24"/>
              </w:rPr>
            </w:pPr>
            <w:r w:rsidRPr="00DD51CE">
              <w:rPr>
                <w:b/>
                <w:sz w:val="24"/>
                <w:szCs w:val="24"/>
              </w:rPr>
              <w:t>Vzdělávací aktivity: doporučené kurzy</w:t>
            </w:r>
          </w:p>
        </w:tc>
        <w:tc>
          <w:tcPr>
            <w:tcW w:w="2637" w:type="dxa"/>
          </w:tcPr>
          <w:p w14:paraId="389BA538" w14:textId="77777777" w:rsidR="004255D9" w:rsidRPr="00DD51CE" w:rsidRDefault="006733FC" w:rsidP="00DD51CE">
            <w:pPr>
              <w:widowControl/>
              <w:spacing w:after="120" w:line="240" w:lineRule="auto"/>
              <w:rPr>
                <w:b/>
                <w:sz w:val="24"/>
                <w:szCs w:val="24"/>
              </w:rPr>
            </w:pPr>
            <w:r w:rsidRPr="00DD51CE">
              <w:rPr>
                <w:b/>
                <w:sz w:val="24"/>
                <w:szCs w:val="24"/>
              </w:rPr>
              <w:t>Maximální cena za jednoho účastníka</w:t>
            </w:r>
          </w:p>
        </w:tc>
      </w:tr>
      <w:tr w:rsidR="004255D9" w:rsidRPr="00DD51CE" w14:paraId="1DFBF2FC" w14:textId="77777777" w:rsidTr="000D1006">
        <w:tc>
          <w:tcPr>
            <w:tcW w:w="7083" w:type="dxa"/>
          </w:tcPr>
          <w:p w14:paraId="1018E356" w14:textId="5420A6C4" w:rsidR="004255D9" w:rsidRPr="00DD51CE" w:rsidRDefault="006733FC" w:rsidP="00DD51CE">
            <w:pPr>
              <w:spacing w:after="120" w:line="240" w:lineRule="auto"/>
              <w:rPr>
                <w:sz w:val="24"/>
                <w:szCs w:val="24"/>
              </w:rPr>
            </w:pPr>
            <w:r w:rsidRPr="00DD51CE">
              <w:rPr>
                <w:sz w:val="24"/>
                <w:szCs w:val="24"/>
              </w:rPr>
              <w:t xml:space="preserve">KA5 </w:t>
            </w:r>
            <w:r w:rsidR="001844C2" w:rsidRPr="00DD51CE">
              <w:rPr>
                <w:sz w:val="24"/>
                <w:szCs w:val="24"/>
              </w:rPr>
              <w:t>–</w:t>
            </w:r>
            <w:r w:rsidRPr="00DD51CE">
              <w:rPr>
                <w:sz w:val="24"/>
                <w:szCs w:val="24"/>
              </w:rPr>
              <w:t xml:space="preserve"> Novorozenecká a vývojová neurologie</w:t>
            </w:r>
          </w:p>
        </w:tc>
        <w:tc>
          <w:tcPr>
            <w:tcW w:w="2637" w:type="dxa"/>
          </w:tcPr>
          <w:p w14:paraId="25D60148"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2A4EE2AA" w14:textId="77777777" w:rsidTr="000D1006">
        <w:tc>
          <w:tcPr>
            <w:tcW w:w="7083" w:type="dxa"/>
          </w:tcPr>
          <w:p w14:paraId="65A5807E" w14:textId="3E9E7318" w:rsidR="004255D9" w:rsidRPr="00DD51CE" w:rsidRDefault="006733FC" w:rsidP="00DD51CE">
            <w:pPr>
              <w:spacing w:after="120" w:line="240" w:lineRule="auto"/>
              <w:rPr>
                <w:sz w:val="24"/>
                <w:szCs w:val="24"/>
              </w:rPr>
            </w:pPr>
            <w:r w:rsidRPr="00DD51CE">
              <w:rPr>
                <w:sz w:val="24"/>
                <w:szCs w:val="24"/>
              </w:rPr>
              <w:t xml:space="preserve">KA6 </w:t>
            </w:r>
            <w:r w:rsidR="001844C2" w:rsidRPr="00DD51CE">
              <w:rPr>
                <w:sz w:val="24"/>
                <w:szCs w:val="24"/>
              </w:rPr>
              <w:t>–</w:t>
            </w:r>
            <w:r w:rsidRPr="00DD51CE">
              <w:rPr>
                <w:sz w:val="24"/>
                <w:szCs w:val="24"/>
              </w:rPr>
              <w:t xml:space="preserve"> Nervosvalová a </w:t>
            </w:r>
            <w:proofErr w:type="spellStart"/>
            <w:r w:rsidRPr="00DD51CE">
              <w:rPr>
                <w:sz w:val="24"/>
                <w:szCs w:val="24"/>
              </w:rPr>
              <w:t>metabol</w:t>
            </w:r>
            <w:proofErr w:type="spellEnd"/>
            <w:r w:rsidRPr="00DD51CE">
              <w:rPr>
                <w:sz w:val="24"/>
                <w:szCs w:val="24"/>
              </w:rPr>
              <w:t>. onemocnění</w:t>
            </w:r>
          </w:p>
        </w:tc>
        <w:tc>
          <w:tcPr>
            <w:tcW w:w="2637" w:type="dxa"/>
          </w:tcPr>
          <w:p w14:paraId="193F3E8A"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2A90F444" w14:textId="77777777" w:rsidTr="000D1006">
        <w:tc>
          <w:tcPr>
            <w:tcW w:w="7083" w:type="dxa"/>
          </w:tcPr>
          <w:p w14:paraId="2F5A65E1" w14:textId="5137AD10" w:rsidR="004255D9" w:rsidRPr="00DD51CE" w:rsidRDefault="006733FC" w:rsidP="00DD51CE">
            <w:pPr>
              <w:spacing w:after="120" w:line="240" w:lineRule="auto"/>
              <w:rPr>
                <w:sz w:val="24"/>
                <w:szCs w:val="24"/>
              </w:rPr>
            </w:pPr>
            <w:r w:rsidRPr="00DD51CE">
              <w:rPr>
                <w:sz w:val="24"/>
                <w:szCs w:val="24"/>
              </w:rPr>
              <w:t xml:space="preserve">KA7 </w:t>
            </w:r>
            <w:r w:rsidR="001844C2" w:rsidRPr="00DD51CE">
              <w:rPr>
                <w:sz w:val="24"/>
                <w:szCs w:val="24"/>
              </w:rPr>
              <w:t>–</w:t>
            </w:r>
            <w:r w:rsidRPr="00DD51CE">
              <w:rPr>
                <w:sz w:val="24"/>
                <w:szCs w:val="24"/>
              </w:rPr>
              <w:t xml:space="preserve"> </w:t>
            </w:r>
            <w:proofErr w:type="spellStart"/>
            <w:r w:rsidRPr="00DD51CE">
              <w:rPr>
                <w:sz w:val="24"/>
                <w:szCs w:val="24"/>
              </w:rPr>
              <w:t>Epi</w:t>
            </w:r>
            <w:r w:rsidR="001B2E6C" w:rsidRPr="00DD51CE">
              <w:rPr>
                <w:sz w:val="24"/>
                <w:szCs w:val="24"/>
              </w:rPr>
              <w:t>l</w:t>
            </w:r>
            <w:r w:rsidRPr="00DD51CE">
              <w:rPr>
                <w:sz w:val="24"/>
                <w:szCs w:val="24"/>
              </w:rPr>
              <w:t>eptologie</w:t>
            </w:r>
            <w:proofErr w:type="spellEnd"/>
            <w:r w:rsidRPr="00DD51CE">
              <w:rPr>
                <w:sz w:val="24"/>
                <w:szCs w:val="24"/>
              </w:rPr>
              <w:t xml:space="preserve">, poruchy spánku, zobrazovací metody </w:t>
            </w:r>
          </w:p>
        </w:tc>
        <w:tc>
          <w:tcPr>
            <w:tcW w:w="2637" w:type="dxa"/>
          </w:tcPr>
          <w:p w14:paraId="3A034593"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5268DC49" w14:textId="77777777" w:rsidTr="000D1006">
        <w:tc>
          <w:tcPr>
            <w:tcW w:w="7083" w:type="dxa"/>
          </w:tcPr>
          <w:p w14:paraId="15F7A2B5" w14:textId="2725DD12" w:rsidR="004255D9" w:rsidRPr="00DD51CE" w:rsidRDefault="006733FC" w:rsidP="00DD51CE">
            <w:pPr>
              <w:spacing w:after="120" w:line="240" w:lineRule="auto"/>
              <w:rPr>
                <w:sz w:val="24"/>
                <w:szCs w:val="24"/>
              </w:rPr>
            </w:pPr>
            <w:r w:rsidRPr="00DD51CE">
              <w:rPr>
                <w:sz w:val="24"/>
                <w:szCs w:val="24"/>
              </w:rPr>
              <w:t xml:space="preserve">KA8 </w:t>
            </w:r>
            <w:r w:rsidR="001844C2" w:rsidRPr="00DD51CE">
              <w:rPr>
                <w:sz w:val="24"/>
                <w:szCs w:val="24"/>
              </w:rPr>
              <w:t>–</w:t>
            </w:r>
            <w:r w:rsidRPr="00DD51CE">
              <w:rPr>
                <w:sz w:val="24"/>
                <w:szCs w:val="24"/>
              </w:rPr>
              <w:t xml:space="preserve"> </w:t>
            </w:r>
            <w:proofErr w:type="spellStart"/>
            <w:r w:rsidRPr="00DD51CE">
              <w:rPr>
                <w:sz w:val="24"/>
                <w:szCs w:val="24"/>
              </w:rPr>
              <w:t>Movement</w:t>
            </w:r>
            <w:proofErr w:type="spellEnd"/>
            <w:r w:rsidRPr="00DD51CE">
              <w:rPr>
                <w:sz w:val="24"/>
                <w:szCs w:val="24"/>
              </w:rPr>
              <w:t xml:space="preserve"> </w:t>
            </w:r>
            <w:proofErr w:type="spellStart"/>
            <w:r w:rsidRPr="00DD51CE">
              <w:rPr>
                <w:sz w:val="24"/>
                <w:szCs w:val="24"/>
              </w:rPr>
              <w:t>disorders</w:t>
            </w:r>
            <w:proofErr w:type="spellEnd"/>
            <w:r w:rsidRPr="00DD51CE">
              <w:rPr>
                <w:sz w:val="24"/>
                <w:szCs w:val="24"/>
              </w:rPr>
              <w:t xml:space="preserve">, autoimunitní a infekční onemocnění, </w:t>
            </w:r>
            <w:proofErr w:type="spellStart"/>
            <w:r w:rsidRPr="00DD51CE">
              <w:rPr>
                <w:sz w:val="24"/>
                <w:szCs w:val="24"/>
              </w:rPr>
              <w:t>neurotrauma</w:t>
            </w:r>
            <w:proofErr w:type="spellEnd"/>
          </w:p>
        </w:tc>
        <w:tc>
          <w:tcPr>
            <w:tcW w:w="2637" w:type="dxa"/>
          </w:tcPr>
          <w:p w14:paraId="5829B09A"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56335478" w14:textId="77777777" w:rsidTr="000D1006">
        <w:tc>
          <w:tcPr>
            <w:tcW w:w="7083" w:type="dxa"/>
          </w:tcPr>
          <w:p w14:paraId="1BD7BC48" w14:textId="5252DD13" w:rsidR="004255D9" w:rsidRPr="00DD51CE" w:rsidRDefault="006733FC" w:rsidP="00DD51CE">
            <w:pPr>
              <w:spacing w:after="120" w:line="240" w:lineRule="auto"/>
              <w:rPr>
                <w:sz w:val="24"/>
                <w:szCs w:val="24"/>
              </w:rPr>
            </w:pPr>
            <w:r w:rsidRPr="00DD51CE">
              <w:rPr>
                <w:sz w:val="24"/>
                <w:szCs w:val="24"/>
              </w:rPr>
              <w:t xml:space="preserve">KA9 </w:t>
            </w:r>
            <w:r w:rsidR="001844C2" w:rsidRPr="00DD51CE">
              <w:rPr>
                <w:sz w:val="24"/>
                <w:szCs w:val="24"/>
              </w:rPr>
              <w:t>–</w:t>
            </w:r>
            <w:r w:rsidRPr="00DD51CE">
              <w:rPr>
                <w:sz w:val="24"/>
                <w:szCs w:val="24"/>
              </w:rPr>
              <w:t xml:space="preserve"> Akutní neurologie, neuropsychologie a neuropsychiatrie, </w:t>
            </w:r>
            <w:proofErr w:type="spellStart"/>
            <w:r w:rsidRPr="00DD51CE">
              <w:rPr>
                <w:sz w:val="24"/>
                <w:szCs w:val="24"/>
              </w:rPr>
              <w:t>neurorehabilitace</w:t>
            </w:r>
            <w:proofErr w:type="spellEnd"/>
            <w:r w:rsidRPr="00DD51CE">
              <w:rPr>
                <w:sz w:val="24"/>
                <w:szCs w:val="24"/>
              </w:rPr>
              <w:t>, základy klinické genetiky</w:t>
            </w:r>
          </w:p>
        </w:tc>
        <w:tc>
          <w:tcPr>
            <w:tcW w:w="2637" w:type="dxa"/>
          </w:tcPr>
          <w:p w14:paraId="3E5ECEE1"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bl>
    <w:p w14:paraId="0A3C6B6B" w14:textId="77777777" w:rsidR="004255D9" w:rsidRPr="00DD51CE" w:rsidRDefault="004255D9" w:rsidP="00DD51CE">
      <w:pPr>
        <w:widowControl/>
        <w:tabs>
          <w:tab w:val="left" w:pos="1843"/>
        </w:tabs>
        <w:spacing w:after="120" w:line="240" w:lineRule="auto"/>
        <w:ind w:left="2880"/>
        <w:jc w:val="both"/>
        <w:rPr>
          <w:sz w:val="24"/>
          <w:szCs w:val="24"/>
        </w:rPr>
      </w:pPr>
    </w:p>
    <w:tbl>
      <w:tblPr>
        <w:tblStyle w:val="a6"/>
        <w:tblW w:w="9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032"/>
      </w:tblGrid>
      <w:tr w:rsidR="004255D9" w:rsidRPr="00DD51CE" w14:paraId="3141E36F" w14:textId="77777777" w:rsidTr="00E11D8B">
        <w:trPr>
          <w:trHeight w:val="396"/>
        </w:trPr>
        <w:tc>
          <w:tcPr>
            <w:tcW w:w="4673" w:type="dxa"/>
            <w:vMerge w:val="restart"/>
          </w:tcPr>
          <w:p w14:paraId="4AF1A9F5" w14:textId="77777777" w:rsidR="004255D9" w:rsidRPr="00DD51CE" w:rsidRDefault="006733FC" w:rsidP="00DD51CE">
            <w:pPr>
              <w:widowControl/>
              <w:spacing w:after="120" w:line="240" w:lineRule="auto"/>
              <w:rPr>
                <w:b/>
                <w:sz w:val="24"/>
                <w:szCs w:val="24"/>
              </w:rPr>
            </w:pPr>
            <w:r w:rsidRPr="00DD51CE">
              <w:rPr>
                <w:b/>
                <w:sz w:val="24"/>
                <w:szCs w:val="24"/>
              </w:rPr>
              <w:t>Vzdělávací aktivity: praxe</w:t>
            </w:r>
          </w:p>
        </w:tc>
        <w:tc>
          <w:tcPr>
            <w:tcW w:w="5032" w:type="dxa"/>
            <w:vMerge w:val="restart"/>
          </w:tcPr>
          <w:p w14:paraId="3411FDC9" w14:textId="7CFBCA8C" w:rsidR="004255D9" w:rsidRPr="00DD51CE" w:rsidRDefault="006733FC" w:rsidP="00DD51CE">
            <w:pPr>
              <w:widowControl/>
              <w:spacing w:after="120" w:line="240" w:lineRule="auto"/>
              <w:rPr>
                <w:b/>
                <w:sz w:val="24"/>
                <w:szCs w:val="24"/>
              </w:rPr>
            </w:pPr>
            <w:r w:rsidRPr="00DD51CE">
              <w:rPr>
                <w:b/>
                <w:sz w:val="24"/>
                <w:szCs w:val="24"/>
              </w:rPr>
              <w:t>Maximální cena za jednoho účastníka</w:t>
            </w:r>
          </w:p>
        </w:tc>
      </w:tr>
      <w:tr w:rsidR="004255D9" w:rsidRPr="00DD51CE" w14:paraId="02811929" w14:textId="77777777" w:rsidTr="00E11D8B">
        <w:trPr>
          <w:trHeight w:val="396"/>
        </w:trPr>
        <w:tc>
          <w:tcPr>
            <w:tcW w:w="4673" w:type="dxa"/>
            <w:vMerge/>
          </w:tcPr>
          <w:p w14:paraId="47BEE3E1" w14:textId="77777777" w:rsidR="004255D9" w:rsidRPr="00DD51CE" w:rsidRDefault="004255D9" w:rsidP="00DD51CE">
            <w:pPr>
              <w:widowControl/>
              <w:spacing w:after="120" w:line="240" w:lineRule="auto"/>
              <w:rPr>
                <w:b/>
                <w:sz w:val="24"/>
                <w:szCs w:val="24"/>
              </w:rPr>
            </w:pPr>
          </w:p>
        </w:tc>
        <w:tc>
          <w:tcPr>
            <w:tcW w:w="5032" w:type="dxa"/>
            <w:vMerge/>
          </w:tcPr>
          <w:p w14:paraId="0138FE51" w14:textId="77777777" w:rsidR="004255D9" w:rsidRPr="00DD51CE" w:rsidRDefault="004255D9" w:rsidP="00DD51CE">
            <w:pPr>
              <w:spacing w:after="120" w:line="240" w:lineRule="auto"/>
              <w:rPr>
                <w:b/>
                <w:sz w:val="24"/>
                <w:szCs w:val="24"/>
              </w:rPr>
            </w:pPr>
          </w:p>
        </w:tc>
      </w:tr>
      <w:tr w:rsidR="004255D9" w:rsidRPr="00DD51CE" w14:paraId="6F2EB21C" w14:textId="77777777" w:rsidTr="00E11D8B">
        <w:trPr>
          <w:trHeight w:val="200"/>
        </w:trPr>
        <w:tc>
          <w:tcPr>
            <w:tcW w:w="4673" w:type="dxa"/>
          </w:tcPr>
          <w:p w14:paraId="2DAEE20F" w14:textId="77423C8A" w:rsidR="004255D9" w:rsidRPr="00DD51CE" w:rsidRDefault="006733FC" w:rsidP="00DD51CE">
            <w:pPr>
              <w:spacing w:after="120" w:line="240" w:lineRule="auto"/>
              <w:rPr>
                <w:sz w:val="24"/>
                <w:szCs w:val="24"/>
              </w:rPr>
            </w:pPr>
            <w:r w:rsidRPr="00DD51CE">
              <w:rPr>
                <w:sz w:val="24"/>
                <w:szCs w:val="24"/>
              </w:rPr>
              <w:t xml:space="preserve">KA10 </w:t>
            </w:r>
            <w:r w:rsidR="001844C2" w:rsidRPr="00DD51CE">
              <w:rPr>
                <w:sz w:val="24"/>
                <w:szCs w:val="24"/>
              </w:rPr>
              <w:t>–</w:t>
            </w:r>
            <w:r w:rsidRPr="00DD51CE">
              <w:rPr>
                <w:sz w:val="24"/>
                <w:szCs w:val="24"/>
              </w:rPr>
              <w:t xml:space="preserve"> Dětská neurologie </w:t>
            </w:r>
          </w:p>
          <w:p w14:paraId="29232636" w14:textId="3FBCB1ED" w:rsidR="004255D9" w:rsidRPr="00DD51CE" w:rsidRDefault="006733FC" w:rsidP="00DD51CE">
            <w:pPr>
              <w:spacing w:after="120" w:line="240" w:lineRule="auto"/>
              <w:rPr>
                <w:sz w:val="24"/>
                <w:szCs w:val="24"/>
              </w:rPr>
            </w:pPr>
            <w:r w:rsidRPr="00DD51CE">
              <w:rPr>
                <w:sz w:val="24"/>
                <w:szCs w:val="24"/>
              </w:rPr>
              <w:t xml:space="preserve">KA11 </w:t>
            </w:r>
            <w:r w:rsidR="001844C2" w:rsidRPr="00DD51CE">
              <w:rPr>
                <w:sz w:val="24"/>
                <w:szCs w:val="24"/>
              </w:rPr>
              <w:t>–</w:t>
            </w:r>
            <w:r w:rsidRPr="00DD51CE">
              <w:rPr>
                <w:sz w:val="24"/>
                <w:szCs w:val="24"/>
              </w:rPr>
              <w:t xml:space="preserve"> Neurologie)</w:t>
            </w:r>
          </w:p>
          <w:p w14:paraId="447DBF1E" w14:textId="117035DB" w:rsidR="004255D9" w:rsidRPr="00DD51CE" w:rsidRDefault="006733FC" w:rsidP="00DD51CE">
            <w:pPr>
              <w:spacing w:after="120" w:line="240" w:lineRule="auto"/>
              <w:rPr>
                <w:sz w:val="24"/>
                <w:szCs w:val="24"/>
              </w:rPr>
            </w:pPr>
            <w:r w:rsidRPr="00DD51CE">
              <w:rPr>
                <w:sz w:val="24"/>
                <w:szCs w:val="24"/>
              </w:rPr>
              <w:t xml:space="preserve">KA12 </w:t>
            </w:r>
            <w:r w:rsidR="001844C2" w:rsidRPr="00DD51CE">
              <w:rPr>
                <w:sz w:val="24"/>
                <w:szCs w:val="24"/>
              </w:rPr>
              <w:t>–</w:t>
            </w:r>
            <w:r w:rsidRPr="00DD51CE">
              <w:rPr>
                <w:sz w:val="24"/>
                <w:szCs w:val="24"/>
              </w:rPr>
              <w:t xml:space="preserve"> Dětské lékařství / Pediatrie </w:t>
            </w:r>
          </w:p>
          <w:p w14:paraId="2719CDC2" w14:textId="503F710D" w:rsidR="004255D9" w:rsidRPr="00DD51CE" w:rsidRDefault="006733FC" w:rsidP="00DD51CE">
            <w:pPr>
              <w:spacing w:after="120" w:line="240" w:lineRule="auto"/>
              <w:rPr>
                <w:sz w:val="24"/>
                <w:szCs w:val="24"/>
              </w:rPr>
            </w:pPr>
            <w:r w:rsidRPr="00DD51CE">
              <w:rPr>
                <w:sz w:val="24"/>
                <w:szCs w:val="24"/>
              </w:rPr>
              <w:t xml:space="preserve">KA13 </w:t>
            </w:r>
            <w:r w:rsidR="001844C2" w:rsidRPr="00DD51CE">
              <w:rPr>
                <w:sz w:val="24"/>
                <w:szCs w:val="24"/>
              </w:rPr>
              <w:t>–</w:t>
            </w:r>
            <w:r w:rsidRPr="00DD51CE">
              <w:rPr>
                <w:sz w:val="24"/>
                <w:szCs w:val="24"/>
              </w:rPr>
              <w:t xml:space="preserve"> Dětská a dorostová psychiatrie </w:t>
            </w:r>
          </w:p>
        </w:tc>
        <w:tc>
          <w:tcPr>
            <w:tcW w:w="5032" w:type="dxa"/>
          </w:tcPr>
          <w:p w14:paraId="7027ED77" w14:textId="2023143D" w:rsidR="009A6E09" w:rsidRDefault="009A6E09" w:rsidP="00DD51CE">
            <w:pPr>
              <w:widowControl/>
              <w:spacing w:after="120" w:line="240" w:lineRule="auto"/>
              <w:rPr>
                <w:sz w:val="24"/>
                <w:szCs w:val="24"/>
              </w:rPr>
            </w:pPr>
            <w:r w:rsidRPr="009A6E09">
              <w:rPr>
                <w:sz w:val="24"/>
                <w:szCs w:val="24"/>
              </w:rPr>
              <w:t>42,50 Kč/hod</w:t>
            </w:r>
            <w:r w:rsidR="00E11D8B">
              <w:rPr>
                <w:sz w:val="24"/>
                <w:szCs w:val="24"/>
              </w:rPr>
              <w:t xml:space="preserve"> (= 60 minut);</w:t>
            </w:r>
            <w:r w:rsidRPr="009A6E09">
              <w:rPr>
                <w:sz w:val="24"/>
                <w:szCs w:val="24"/>
              </w:rPr>
              <w:t xml:space="preserve"> </w:t>
            </w:r>
          </w:p>
          <w:p w14:paraId="29264EDE" w14:textId="01510266" w:rsidR="00E11D8B" w:rsidRDefault="009A6E09" w:rsidP="009A6E09">
            <w:pPr>
              <w:widowControl/>
              <w:spacing w:after="120" w:line="240" w:lineRule="auto"/>
              <w:rPr>
                <w:sz w:val="24"/>
                <w:szCs w:val="24"/>
              </w:rPr>
            </w:pPr>
            <w:r w:rsidRPr="009A6E09">
              <w:rPr>
                <w:sz w:val="24"/>
                <w:szCs w:val="24"/>
              </w:rPr>
              <w:t xml:space="preserve">maximálně však </w:t>
            </w:r>
            <w:r w:rsidR="006733FC" w:rsidRPr="009A6E09">
              <w:rPr>
                <w:sz w:val="24"/>
                <w:szCs w:val="24"/>
              </w:rPr>
              <w:t>340,- Kč/den</w:t>
            </w:r>
            <w:r w:rsidR="00E11D8B">
              <w:rPr>
                <w:sz w:val="24"/>
                <w:szCs w:val="24"/>
              </w:rPr>
              <w:t xml:space="preserve"> (= 8 hod);</w:t>
            </w:r>
            <w:r w:rsidR="006733FC" w:rsidRPr="009A6E09">
              <w:rPr>
                <w:sz w:val="24"/>
                <w:szCs w:val="24"/>
              </w:rPr>
              <w:t xml:space="preserve"> </w:t>
            </w:r>
          </w:p>
          <w:p w14:paraId="64CB8809" w14:textId="717ED10A" w:rsidR="004255D9" w:rsidRPr="00DD51CE" w:rsidRDefault="006733FC" w:rsidP="009A6E09">
            <w:pPr>
              <w:widowControl/>
              <w:spacing w:after="120" w:line="240" w:lineRule="auto"/>
              <w:rPr>
                <w:sz w:val="24"/>
                <w:szCs w:val="24"/>
              </w:rPr>
            </w:pPr>
            <w:r w:rsidRPr="009A6E09">
              <w:rPr>
                <w:sz w:val="24"/>
                <w:szCs w:val="24"/>
              </w:rPr>
              <w:t>maximálně však</w:t>
            </w:r>
            <w:r w:rsidR="00E11D8B">
              <w:rPr>
                <w:sz w:val="24"/>
                <w:szCs w:val="24"/>
              </w:rPr>
              <w:t xml:space="preserve"> </w:t>
            </w:r>
            <w:proofErr w:type="gramStart"/>
            <w:r w:rsidRPr="00DD51CE">
              <w:rPr>
                <w:sz w:val="24"/>
                <w:szCs w:val="24"/>
              </w:rPr>
              <w:t>6.800,-</w:t>
            </w:r>
            <w:proofErr w:type="gramEnd"/>
            <w:r w:rsidRPr="00DD51CE">
              <w:rPr>
                <w:sz w:val="24"/>
                <w:szCs w:val="24"/>
              </w:rPr>
              <w:t xml:space="preserve"> Kč za kalendářní měsíc.</w:t>
            </w:r>
          </w:p>
        </w:tc>
      </w:tr>
    </w:tbl>
    <w:p w14:paraId="6D73CB23" w14:textId="77777777" w:rsidR="004255D9" w:rsidRPr="00DD51CE" w:rsidRDefault="004255D9" w:rsidP="00DD51CE">
      <w:pPr>
        <w:widowControl/>
        <w:spacing w:after="120" w:line="240" w:lineRule="auto"/>
        <w:rPr>
          <w:sz w:val="24"/>
          <w:szCs w:val="24"/>
        </w:rPr>
      </w:pPr>
    </w:p>
    <w:p w14:paraId="15A37722" w14:textId="71ED34DC" w:rsidR="00495D07" w:rsidRPr="00495D07" w:rsidRDefault="006733FC" w:rsidP="00DE45DF">
      <w:pPr>
        <w:widowControl/>
        <w:numPr>
          <w:ilvl w:val="0"/>
          <w:numId w:val="27"/>
        </w:numPr>
        <w:pBdr>
          <w:top w:val="nil"/>
          <w:left w:val="nil"/>
          <w:bottom w:val="nil"/>
          <w:right w:val="nil"/>
          <w:between w:val="nil"/>
        </w:pBdr>
        <w:spacing w:after="120" w:line="240" w:lineRule="auto"/>
        <w:ind w:left="414" w:hanging="357"/>
        <w:jc w:val="both"/>
        <w:rPr>
          <w:sz w:val="24"/>
          <w:szCs w:val="24"/>
        </w:rPr>
      </w:pPr>
      <w:r w:rsidRPr="00495D07">
        <w:rPr>
          <w:sz w:val="24"/>
          <w:szCs w:val="24"/>
        </w:rPr>
        <w:t>Celková částka na nákup</w:t>
      </w:r>
      <w:r w:rsidRPr="00DD51CE">
        <w:rPr>
          <w:vertAlign w:val="superscript"/>
        </w:rPr>
        <w:footnoteReference w:id="24"/>
      </w:r>
      <w:r w:rsidRPr="00495D07">
        <w:rPr>
          <w:sz w:val="24"/>
          <w:szCs w:val="24"/>
        </w:rPr>
        <w:t xml:space="preserve"> vzdělávacích aktivit (</w:t>
      </w:r>
      <w:r w:rsidR="00C22360">
        <w:rPr>
          <w:sz w:val="24"/>
          <w:szCs w:val="24"/>
        </w:rPr>
        <w:t>KA</w:t>
      </w:r>
      <w:r w:rsidRPr="00495D07">
        <w:rPr>
          <w:sz w:val="24"/>
          <w:szCs w:val="24"/>
        </w:rPr>
        <w:t xml:space="preserve">1 až </w:t>
      </w:r>
      <w:r w:rsidR="00C22360">
        <w:rPr>
          <w:sz w:val="24"/>
          <w:szCs w:val="24"/>
        </w:rPr>
        <w:t>KA</w:t>
      </w:r>
      <w:r w:rsidRPr="00495D07">
        <w:rPr>
          <w:sz w:val="24"/>
          <w:szCs w:val="24"/>
        </w:rPr>
        <w:t xml:space="preserve">13) jakožto služeb nesmí přesáhnout </w:t>
      </w:r>
      <w:proofErr w:type="gramStart"/>
      <w:r w:rsidR="009550D9">
        <w:rPr>
          <w:sz w:val="24"/>
          <w:szCs w:val="24"/>
        </w:rPr>
        <w:t>5</w:t>
      </w:r>
      <w:r w:rsidRPr="00495D07">
        <w:rPr>
          <w:sz w:val="24"/>
          <w:szCs w:val="24"/>
        </w:rPr>
        <w:t>00</w:t>
      </w:r>
      <w:r w:rsidR="005A65BA">
        <w:rPr>
          <w:sz w:val="24"/>
          <w:szCs w:val="24"/>
        </w:rPr>
        <w:t>.</w:t>
      </w:r>
      <w:r w:rsidRPr="00495D07">
        <w:rPr>
          <w:sz w:val="24"/>
          <w:szCs w:val="24"/>
        </w:rPr>
        <w:t>000</w:t>
      </w:r>
      <w:r w:rsidR="00083B09">
        <w:rPr>
          <w:sz w:val="24"/>
          <w:szCs w:val="24"/>
        </w:rPr>
        <w:t>,-</w:t>
      </w:r>
      <w:proofErr w:type="gramEnd"/>
      <w:r w:rsidRPr="00495D07">
        <w:rPr>
          <w:sz w:val="24"/>
          <w:szCs w:val="24"/>
        </w:rPr>
        <w:t xml:space="preserve"> Kč bez DPH. </w:t>
      </w:r>
    </w:p>
    <w:p w14:paraId="1874C49A" w14:textId="1FE47FF2" w:rsidR="004255D9" w:rsidRDefault="006733FC" w:rsidP="00DE45DF">
      <w:pPr>
        <w:widowControl/>
        <w:numPr>
          <w:ilvl w:val="0"/>
          <w:numId w:val="27"/>
        </w:numPr>
        <w:pBdr>
          <w:top w:val="nil"/>
          <w:left w:val="nil"/>
          <w:bottom w:val="nil"/>
          <w:right w:val="nil"/>
          <w:between w:val="nil"/>
        </w:pBdr>
        <w:spacing w:after="120" w:line="240" w:lineRule="auto"/>
        <w:ind w:left="414" w:hanging="357"/>
        <w:jc w:val="both"/>
        <w:rPr>
          <w:sz w:val="24"/>
          <w:szCs w:val="24"/>
        </w:rPr>
      </w:pPr>
      <w:r w:rsidRPr="00495D07">
        <w:rPr>
          <w:sz w:val="24"/>
          <w:szCs w:val="24"/>
        </w:rPr>
        <w:t>Je doporučeno hradit náklady na vzdělávací aktivity přímo Příjemcem</w:t>
      </w:r>
      <w:r w:rsidR="002913F2" w:rsidRPr="00495D07">
        <w:rPr>
          <w:sz w:val="24"/>
          <w:szCs w:val="24"/>
        </w:rPr>
        <w:t xml:space="preserve"> </w:t>
      </w:r>
      <w:r w:rsidRPr="00495D07">
        <w:rPr>
          <w:sz w:val="24"/>
          <w:szCs w:val="24"/>
        </w:rPr>
        <w:t>bezhotovostně, tj. ne účastníkem.</w:t>
      </w:r>
    </w:p>
    <w:p w14:paraId="25EA3440" w14:textId="31FAD8D1" w:rsidR="004255D9" w:rsidRPr="00B930FE" w:rsidRDefault="006733FC" w:rsidP="006F3A94">
      <w:pPr>
        <w:pStyle w:val="Nadpis4"/>
      </w:pPr>
      <w:bookmarkStart w:id="18" w:name="_Toc32407798"/>
      <w:r w:rsidRPr="00B930FE">
        <w:lastRenderedPageBreak/>
        <w:t>2.</w:t>
      </w:r>
      <w:r w:rsidR="00C97833" w:rsidRPr="00B930FE">
        <w:t>3.</w:t>
      </w:r>
      <w:r w:rsidRPr="00B930FE">
        <w:t>3.</w:t>
      </w:r>
      <w:r w:rsidR="00402FBE">
        <w:t>3</w:t>
      </w:r>
      <w:r w:rsidRPr="00B930FE">
        <w:t xml:space="preserve"> DPH</w:t>
      </w:r>
      <w:bookmarkEnd w:id="18"/>
    </w:p>
    <w:p w14:paraId="24E336D2" w14:textId="77777777" w:rsidR="004255D9" w:rsidRPr="00DD51CE" w:rsidRDefault="006733FC" w:rsidP="006F3A94">
      <w:pPr>
        <w:keepNext/>
        <w:keepLines/>
        <w:spacing w:before="240" w:after="120" w:line="240" w:lineRule="auto"/>
        <w:jc w:val="both"/>
        <w:rPr>
          <w:sz w:val="24"/>
          <w:szCs w:val="24"/>
        </w:rPr>
      </w:pPr>
      <w:r w:rsidRPr="00DD51CE">
        <w:rPr>
          <w:sz w:val="24"/>
          <w:szCs w:val="24"/>
        </w:rPr>
        <w:t>Určení způsobilosti DPH</w:t>
      </w:r>
      <w:r w:rsidRPr="00DD51CE">
        <w:rPr>
          <w:sz w:val="24"/>
          <w:szCs w:val="24"/>
          <w:vertAlign w:val="superscript"/>
        </w:rPr>
        <w:footnoteReference w:id="25"/>
      </w:r>
      <w:r w:rsidRPr="00DD51CE">
        <w:rPr>
          <w:sz w:val="24"/>
          <w:szCs w:val="24"/>
        </w:rPr>
        <w:t xml:space="preserve"> se liší pro plátce a neplátce DPH:</w:t>
      </w:r>
    </w:p>
    <w:p w14:paraId="3BBAD947" w14:textId="4BA565D3" w:rsidR="004255D9" w:rsidRPr="00DD51CE" w:rsidRDefault="006733FC" w:rsidP="006F3A94">
      <w:pPr>
        <w:keepNext/>
        <w:keepLines/>
        <w:numPr>
          <w:ilvl w:val="0"/>
          <w:numId w:val="5"/>
        </w:numPr>
        <w:spacing w:before="240" w:after="120" w:line="240" w:lineRule="auto"/>
        <w:ind w:left="426"/>
        <w:jc w:val="both"/>
        <w:rPr>
          <w:sz w:val="24"/>
          <w:szCs w:val="24"/>
        </w:rPr>
      </w:pPr>
      <w:r w:rsidRPr="00DD51CE">
        <w:rPr>
          <w:sz w:val="24"/>
          <w:szCs w:val="24"/>
        </w:rPr>
        <w:t>Plátce DPH – způsobilým výdajem je ta část DPH, u které podle zákona o DPH nemá plátce nárok na odpočet daně na vstupu. Pokud plátce DPH přijatá zdanitelná plnění použije jak pro uskutečnění své ekonomické činnosti, tak pro účely s ní nesouvisející, je způsobilou buď poměrná část DPH, nebo část DPH v</w:t>
      </w:r>
      <w:r w:rsidR="00845DB5">
        <w:rPr>
          <w:sz w:val="24"/>
          <w:szCs w:val="24"/>
        </w:rPr>
        <w:t> </w:t>
      </w:r>
      <w:r w:rsidRPr="00DD51CE">
        <w:rPr>
          <w:sz w:val="24"/>
          <w:szCs w:val="24"/>
        </w:rPr>
        <w:t>krácené výši (odpovídající rozsahu použití nesouvisejícího s ekonomickou činností). Dále je způsobilým výdajem DPH v plné výši, pokud plátce nemá možnost nárokovat si odpočet daně na vstupu, protože plnění nepoužije pro svou ekonomickou činnost.</w:t>
      </w:r>
    </w:p>
    <w:p w14:paraId="0A2E3B1C" w14:textId="77777777" w:rsidR="004255D9" w:rsidRPr="00DD51CE" w:rsidRDefault="006733FC" w:rsidP="00DE45DF">
      <w:pPr>
        <w:numPr>
          <w:ilvl w:val="0"/>
          <w:numId w:val="5"/>
        </w:numPr>
        <w:spacing w:after="120" w:line="240" w:lineRule="auto"/>
        <w:ind w:left="426"/>
        <w:jc w:val="both"/>
        <w:rPr>
          <w:sz w:val="24"/>
          <w:szCs w:val="24"/>
        </w:rPr>
      </w:pPr>
      <w:r w:rsidRPr="00DD51CE">
        <w:rPr>
          <w:sz w:val="24"/>
          <w:szCs w:val="24"/>
        </w:rPr>
        <w:t>Neplátce DPH – daň z přidané hodnoty je způsobilým výdajem.</w:t>
      </w:r>
    </w:p>
    <w:p w14:paraId="1E162B89" w14:textId="2DA85AED" w:rsidR="000D1006" w:rsidRPr="000D1006" w:rsidRDefault="006733FC" w:rsidP="000D1006">
      <w:pPr>
        <w:spacing w:before="240" w:after="120" w:line="240" w:lineRule="auto"/>
        <w:jc w:val="both"/>
        <w:rPr>
          <w:sz w:val="24"/>
          <w:szCs w:val="24"/>
        </w:rPr>
      </w:pPr>
      <w:r w:rsidRPr="00DD51CE">
        <w:rPr>
          <w:sz w:val="24"/>
          <w:szCs w:val="24"/>
        </w:rPr>
        <w:t>Pro oba případy musí platit, že DPH splňuje základní principy způsobilosti (např. časovou způsobilost) a že se vztahuje k plněním, která jsou sama způsobilá.</w:t>
      </w:r>
      <w:r w:rsidR="000D1006">
        <w:rPr>
          <w:sz w:val="24"/>
          <w:szCs w:val="24"/>
        </w:rPr>
        <w:t xml:space="preserve"> </w:t>
      </w:r>
      <w:r w:rsidR="000D1006" w:rsidRPr="000D1006">
        <w:rPr>
          <w:sz w:val="24"/>
          <w:szCs w:val="24"/>
        </w:rPr>
        <w:t>V</w:t>
      </w:r>
      <w:r w:rsidR="000D1006">
        <w:rPr>
          <w:sz w:val="24"/>
          <w:szCs w:val="24"/>
        </w:rPr>
        <w:t> </w:t>
      </w:r>
      <w:r w:rsidR="000D1006" w:rsidRPr="000D1006">
        <w:rPr>
          <w:sz w:val="24"/>
          <w:szCs w:val="24"/>
        </w:rPr>
        <w:t xml:space="preserve">případě, že je plnění způsobilé pouze z části, pak je </w:t>
      </w:r>
      <w:r w:rsidR="000D1006">
        <w:rPr>
          <w:sz w:val="24"/>
          <w:szCs w:val="24"/>
        </w:rPr>
        <w:t>DPH</w:t>
      </w:r>
      <w:r w:rsidR="000D1006" w:rsidRPr="000D1006">
        <w:rPr>
          <w:sz w:val="24"/>
          <w:szCs w:val="24"/>
        </w:rPr>
        <w:t xml:space="preserve"> vztahující se k tomuto plnění způsobilá ze stejné části.</w:t>
      </w:r>
      <w:r w:rsidR="000D1006">
        <w:t xml:space="preserve"> </w:t>
      </w:r>
    </w:p>
    <w:p w14:paraId="12EB2839" w14:textId="77777777" w:rsidR="00112ABE" w:rsidRPr="00DD51CE" w:rsidRDefault="00112ABE" w:rsidP="00DD51CE">
      <w:pPr>
        <w:spacing w:before="240" w:after="120" w:line="240" w:lineRule="auto"/>
        <w:jc w:val="both"/>
        <w:rPr>
          <w:sz w:val="24"/>
          <w:szCs w:val="24"/>
        </w:rPr>
      </w:pPr>
    </w:p>
    <w:p w14:paraId="7A3A523F" w14:textId="06D288E6" w:rsidR="00C97833" w:rsidRPr="00DD51CE" w:rsidRDefault="006733FC" w:rsidP="00402FBE">
      <w:pPr>
        <w:pStyle w:val="Nadpis4"/>
      </w:pPr>
      <w:bookmarkStart w:id="19" w:name="_Toc32407799"/>
      <w:r w:rsidRPr="00DD51CE">
        <w:t>2.</w:t>
      </w:r>
      <w:r w:rsidR="00C97833" w:rsidRPr="00DD51CE">
        <w:t>3.</w:t>
      </w:r>
      <w:r w:rsidRPr="00DD51CE">
        <w:t>3.</w:t>
      </w:r>
      <w:r w:rsidR="00402FBE">
        <w:t xml:space="preserve">4 </w:t>
      </w:r>
      <w:r w:rsidR="00B930FE">
        <w:t>Oblasti způsobilých výdajů</w:t>
      </w:r>
      <w:r w:rsidRPr="00DD51CE">
        <w:t xml:space="preserve"> </w:t>
      </w:r>
      <w:r w:rsidR="00C97833" w:rsidRPr="00DD51CE">
        <w:t>Vzdělávacích pracovišť</w:t>
      </w:r>
      <w:bookmarkEnd w:id="19"/>
    </w:p>
    <w:p w14:paraId="618F0918" w14:textId="38A8603E" w:rsidR="004255D9" w:rsidRPr="00DD51CE" w:rsidRDefault="00C97833" w:rsidP="000D1006">
      <w:pPr>
        <w:spacing w:after="120" w:line="240" w:lineRule="auto"/>
        <w:jc w:val="both"/>
        <w:rPr>
          <w:sz w:val="24"/>
          <w:szCs w:val="24"/>
        </w:rPr>
      </w:pPr>
      <w:r w:rsidRPr="00DD51CE">
        <w:rPr>
          <w:sz w:val="24"/>
          <w:szCs w:val="24"/>
        </w:rPr>
        <w:t xml:space="preserve">Oblasti způsobilých výdajů </w:t>
      </w:r>
      <w:r w:rsidR="006733FC" w:rsidRPr="00DD51CE">
        <w:rPr>
          <w:sz w:val="24"/>
          <w:szCs w:val="24"/>
        </w:rPr>
        <w:t xml:space="preserve">v případě Příjemců, kteří jsou zároveň </w:t>
      </w:r>
      <w:r w:rsidR="001B2E6C" w:rsidRPr="00DD51CE">
        <w:rPr>
          <w:sz w:val="24"/>
          <w:szCs w:val="24"/>
        </w:rPr>
        <w:t>Vzdělávací</w:t>
      </w:r>
      <w:r w:rsidR="006733FC" w:rsidRPr="00DD51CE">
        <w:rPr>
          <w:sz w:val="24"/>
          <w:szCs w:val="24"/>
        </w:rPr>
        <w:t>mi pracovišti: FN Motol, FN Brno, Thomayerova nemocnice, FN Ostrava</w:t>
      </w:r>
      <w:r w:rsidR="00B0657C" w:rsidRPr="00DD51CE">
        <w:rPr>
          <w:sz w:val="24"/>
          <w:szCs w:val="24"/>
        </w:rPr>
        <w:t>.</w:t>
      </w:r>
      <w:r w:rsidR="006733FC" w:rsidRPr="00DD51CE">
        <w:rPr>
          <w:sz w:val="24"/>
          <w:szCs w:val="24"/>
        </w:rPr>
        <w:t xml:space="preserve"> </w:t>
      </w:r>
    </w:p>
    <w:p w14:paraId="475CC917" w14:textId="22E25FE1" w:rsidR="004255D9" w:rsidRPr="00DD51CE" w:rsidRDefault="006733FC" w:rsidP="00DE45DF">
      <w:pPr>
        <w:widowControl/>
        <w:numPr>
          <w:ilvl w:val="0"/>
          <w:numId w:val="29"/>
        </w:numPr>
        <w:pBdr>
          <w:top w:val="nil"/>
          <w:left w:val="nil"/>
          <w:bottom w:val="nil"/>
          <w:right w:val="nil"/>
          <w:between w:val="nil"/>
        </w:pBdr>
        <w:spacing w:after="120" w:line="240" w:lineRule="auto"/>
        <w:ind w:left="414" w:hanging="357"/>
        <w:jc w:val="both"/>
        <w:rPr>
          <w:sz w:val="24"/>
          <w:szCs w:val="24"/>
        </w:rPr>
      </w:pPr>
      <w:r w:rsidRPr="00DD51CE">
        <w:rPr>
          <w:sz w:val="24"/>
          <w:szCs w:val="24"/>
        </w:rPr>
        <w:t>V této kapitole Metodického pokynu jsou uvedeny informace k jednotlivým druhům možných způsobilých výdajů a podmínkám jejich způsobilosti, případně je uveden odkaz na konkrétní podkapitoly Specifických pravidel</w:t>
      </w:r>
      <w:r w:rsidRPr="00DD51CE">
        <w:rPr>
          <w:sz w:val="24"/>
          <w:szCs w:val="24"/>
          <w:vertAlign w:val="superscript"/>
        </w:rPr>
        <w:footnoteReference w:id="26"/>
      </w:r>
      <w:r w:rsidRPr="00DD51CE">
        <w:rPr>
          <w:sz w:val="24"/>
          <w:szCs w:val="24"/>
        </w:rPr>
        <w:t>, jimiž je Příjemce povinen se v</w:t>
      </w:r>
      <w:r w:rsidR="00B0657C" w:rsidRPr="00DD51CE">
        <w:rPr>
          <w:sz w:val="24"/>
          <w:szCs w:val="24"/>
        </w:rPr>
        <w:t> </w:t>
      </w:r>
      <w:r w:rsidRPr="00DD51CE">
        <w:rPr>
          <w:sz w:val="24"/>
          <w:szCs w:val="24"/>
        </w:rPr>
        <w:t xml:space="preserve">dále uvedených případech řídit. </w:t>
      </w:r>
    </w:p>
    <w:p w14:paraId="4D9B5C5C" w14:textId="77777777" w:rsidR="004255D9" w:rsidRPr="00DD51CE" w:rsidRDefault="006733FC" w:rsidP="00DE45DF">
      <w:pPr>
        <w:widowControl/>
        <w:numPr>
          <w:ilvl w:val="0"/>
          <w:numId w:val="29"/>
        </w:numPr>
        <w:pBdr>
          <w:top w:val="nil"/>
          <w:left w:val="nil"/>
          <w:bottom w:val="nil"/>
          <w:right w:val="nil"/>
          <w:between w:val="nil"/>
        </w:pBdr>
        <w:spacing w:after="120" w:line="240" w:lineRule="auto"/>
        <w:ind w:left="414" w:hanging="357"/>
        <w:jc w:val="both"/>
        <w:rPr>
          <w:sz w:val="24"/>
          <w:szCs w:val="24"/>
        </w:rPr>
      </w:pPr>
      <w:r w:rsidRPr="00DD51CE">
        <w:rPr>
          <w:sz w:val="24"/>
          <w:szCs w:val="24"/>
        </w:rPr>
        <w:t>Maximální limity kurzů a praxí zahrnují veškeré dále uvedené možné způsobilé náklady spojené s realizací vzdělávací aktivity pro jednoho účastníka: tj. primárně:</w:t>
      </w:r>
    </w:p>
    <w:p w14:paraId="5C330991" w14:textId="6A40AEB7"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poměrnou část platu školícího lektora ve výši vypočtené na jednoho účastníka kurzu</w:t>
      </w:r>
      <w:r w:rsidR="00B0657C" w:rsidRPr="00DD51CE">
        <w:rPr>
          <w:sz w:val="24"/>
          <w:szCs w:val="24"/>
        </w:rPr>
        <w:t>;</w:t>
      </w:r>
      <w:r w:rsidRPr="00DD51CE">
        <w:rPr>
          <w:sz w:val="24"/>
          <w:szCs w:val="24"/>
        </w:rPr>
        <w:t xml:space="preserve"> </w:t>
      </w:r>
    </w:p>
    <w:p w14:paraId="2D02D8D8" w14:textId="4B883E25" w:rsidR="004255D9" w:rsidRPr="00DD51CE" w:rsidRDefault="006733FC" w:rsidP="00DE45DF">
      <w:pPr>
        <w:numPr>
          <w:ilvl w:val="0"/>
          <w:numId w:val="16"/>
        </w:numPr>
        <w:spacing w:after="120" w:line="240" w:lineRule="auto"/>
        <w:ind w:left="851"/>
        <w:jc w:val="both"/>
        <w:rPr>
          <w:sz w:val="24"/>
          <w:szCs w:val="24"/>
        </w:rPr>
      </w:pPr>
      <w:r w:rsidRPr="00DD51CE">
        <w:rPr>
          <w:sz w:val="24"/>
          <w:szCs w:val="24"/>
        </w:rPr>
        <w:t xml:space="preserve">poměrnou část platu školícího lékaře stanovenou ve výši odpovídající času </w:t>
      </w:r>
      <w:r w:rsidRPr="00DD51CE">
        <w:rPr>
          <w:sz w:val="24"/>
          <w:szCs w:val="24"/>
        </w:rPr>
        <w:lastRenderedPageBreak/>
        <w:t xml:space="preserve">v dnu/měsíci individuálně věnovanému </w:t>
      </w:r>
      <w:r w:rsidR="00B0657C" w:rsidRPr="00DD51CE">
        <w:rPr>
          <w:sz w:val="24"/>
          <w:szCs w:val="24"/>
        </w:rPr>
        <w:t xml:space="preserve">účastníkovi </w:t>
      </w:r>
      <w:r w:rsidR="001844C2" w:rsidRPr="00DD51CE">
        <w:rPr>
          <w:sz w:val="24"/>
          <w:szCs w:val="24"/>
        </w:rPr>
        <w:t>–</w:t>
      </w:r>
      <w:r w:rsidR="00B0657C" w:rsidRPr="00DD51CE">
        <w:rPr>
          <w:sz w:val="24"/>
          <w:szCs w:val="24"/>
        </w:rPr>
        <w:t xml:space="preserve"> </w:t>
      </w:r>
      <w:r w:rsidRPr="00DD51CE">
        <w:rPr>
          <w:sz w:val="24"/>
          <w:szCs w:val="24"/>
        </w:rPr>
        <w:t>stážistovi</w:t>
      </w:r>
      <w:r w:rsidR="00B0657C" w:rsidRPr="00DD51CE">
        <w:rPr>
          <w:sz w:val="24"/>
          <w:szCs w:val="24"/>
        </w:rPr>
        <w:t>;</w:t>
      </w:r>
    </w:p>
    <w:p w14:paraId="61458FCA" w14:textId="77D5087A"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náklady na materiál na jednoho účastníka</w:t>
      </w:r>
      <w:r w:rsidR="00B0657C" w:rsidRPr="00DD51CE">
        <w:rPr>
          <w:sz w:val="24"/>
          <w:szCs w:val="24"/>
        </w:rPr>
        <w:t>;</w:t>
      </w:r>
    </w:p>
    <w:p w14:paraId="44AA1080" w14:textId="0328442D"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režijní náklady na jednoho účastníka</w:t>
      </w:r>
      <w:r w:rsidR="00B0657C" w:rsidRPr="00DD51CE">
        <w:rPr>
          <w:sz w:val="24"/>
          <w:szCs w:val="24"/>
        </w:rPr>
        <w:t>;</w:t>
      </w:r>
    </w:p>
    <w:p w14:paraId="4B47C95A" w14:textId="3ACC2F57"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náklady na občerstvení pro jednoho účastníka</w:t>
      </w:r>
      <w:r w:rsidR="00B0657C" w:rsidRPr="00DD51CE">
        <w:rPr>
          <w:sz w:val="24"/>
          <w:szCs w:val="24"/>
        </w:rPr>
        <w:t>;</w:t>
      </w:r>
    </w:p>
    <w:p w14:paraId="1C046D25" w14:textId="3BD30687" w:rsidR="004255D9" w:rsidRDefault="006733FC" w:rsidP="00DE45DF">
      <w:pPr>
        <w:widowControl/>
        <w:numPr>
          <w:ilvl w:val="0"/>
          <w:numId w:val="16"/>
        </w:numPr>
        <w:spacing w:after="120" w:line="240" w:lineRule="auto"/>
        <w:ind w:left="851"/>
        <w:jc w:val="both"/>
        <w:rPr>
          <w:sz w:val="24"/>
          <w:szCs w:val="24"/>
        </w:rPr>
      </w:pPr>
      <w:r w:rsidRPr="00DD51CE">
        <w:rPr>
          <w:sz w:val="24"/>
          <w:szCs w:val="24"/>
        </w:rPr>
        <w:t>případné daně</w:t>
      </w:r>
      <w:r w:rsidR="00B0657C" w:rsidRPr="00DD51CE">
        <w:rPr>
          <w:sz w:val="24"/>
          <w:szCs w:val="24"/>
        </w:rPr>
        <w:t>.</w:t>
      </w:r>
    </w:p>
    <w:p w14:paraId="29AE3E03" w14:textId="77777777" w:rsidR="00112ABE" w:rsidRPr="00DD51CE" w:rsidRDefault="00112ABE" w:rsidP="00112ABE">
      <w:pPr>
        <w:widowControl/>
        <w:spacing w:after="120" w:line="240" w:lineRule="auto"/>
        <w:ind w:left="851"/>
        <w:jc w:val="both"/>
        <w:rPr>
          <w:sz w:val="24"/>
          <w:szCs w:val="24"/>
        </w:rPr>
      </w:pPr>
    </w:p>
    <w:p w14:paraId="3FAEC4BF" w14:textId="19759EFD" w:rsidR="004255D9" w:rsidRPr="00B930FE" w:rsidRDefault="006733FC" w:rsidP="00B930FE">
      <w:pPr>
        <w:pStyle w:val="Nadpis5"/>
      </w:pPr>
      <w:bookmarkStart w:id="20" w:name="_Toc30241191"/>
      <w:bookmarkStart w:id="21" w:name="_Toc32407800"/>
      <w:r w:rsidRPr="00B930FE">
        <w:t>2.</w:t>
      </w:r>
      <w:r w:rsidR="00C97833" w:rsidRPr="00B930FE">
        <w:t>3.</w:t>
      </w:r>
      <w:r w:rsidRPr="00B930FE">
        <w:t>3.</w:t>
      </w:r>
      <w:r w:rsidR="00402FBE">
        <w:t>4</w:t>
      </w:r>
      <w:r w:rsidRPr="00B930FE">
        <w:t>.1 Osobní náklady</w:t>
      </w:r>
      <w:bookmarkEnd w:id="20"/>
      <w:bookmarkEnd w:id="21"/>
      <w:r w:rsidRPr="00B930FE">
        <w:t xml:space="preserve"> </w:t>
      </w:r>
    </w:p>
    <w:p w14:paraId="2EBEACED" w14:textId="122C57E1"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Příjemci v případě osobních nákladů nepostupují podle Specifických pravidel podkapitoly 6.2.1 Osobní náklady a kapitoly 6.3.1 Pracovní výkazy, ale dle níže uvedených pravidel.</w:t>
      </w:r>
    </w:p>
    <w:p w14:paraId="63FCDC42" w14:textId="05FA23DA" w:rsidR="004255D9" w:rsidRPr="00802192" w:rsidRDefault="000D1006" w:rsidP="00003339">
      <w:pPr>
        <w:widowControl/>
        <w:numPr>
          <w:ilvl w:val="0"/>
          <w:numId w:val="28"/>
        </w:numPr>
        <w:pBdr>
          <w:top w:val="nil"/>
          <w:left w:val="nil"/>
          <w:bottom w:val="nil"/>
          <w:right w:val="nil"/>
          <w:between w:val="nil"/>
        </w:pBdr>
        <w:spacing w:line="240" w:lineRule="auto"/>
        <w:ind w:left="414" w:hanging="357"/>
        <w:jc w:val="both"/>
        <w:rPr>
          <w:sz w:val="24"/>
          <w:szCs w:val="24"/>
        </w:rPr>
      </w:pPr>
      <w:r>
        <w:rPr>
          <w:sz w:val="24"/>
          <w:szCs w:val="24"/>
        </w:rPr>
        <w:t>Způsobilé jsou o</w:t>
      </w:r>
      <w:r w:rsidR="006733FC" w:rsidRPr="00DD51CE">
        <w:rPr>
          <w:sz w:val="24"/>
          <w:szCs w:val="24"/>
        </w:rPr>
        <w:t xml:space="preserve">sobní náklady zaměstnanců podílejících se na realizaci vzdělávacích aktivit (zejména lektorů, školitelů a </w:t>
      </w:r>
      <w:r w:rsidR="006733FC" w:rsidRPr="00802192">
        <w:rPr>
          <w:sz w:val="24"/>
          <w:szCs w:val="24"/>
        </w:rPr>
        <w:t xml:space="preserve">školících lékařů) </w:t>
      </w:r>
      <w:r w:rsidR="00802192" w:rsidRPr="00802192">
        <w:rPr>
          <w:sz w:val="24"/>
          <w:szCs w:val="24"/>
        </w:rPr>
        <w:t>P</w:t>
      </w:r>
      <w:r w:rsidR="006733FC" w:rsidRPr="00802192">
        <w:rPr>
          <w:sz w:val="24"/>
          <w:szCs w:val="24"/>
        </w:rPr>
        <w:t>rojektu</w:t>
      </w:r>
      <w:r>
        <w:rPr>
          <w:sz w:val="24"/>
          <w:szCs w:val="24"/>
        </w:rPr>
        <w:t>, a to:</w:t>
      </w:r>
      <w:r w:rsidR="006733FC" w:rsidRPr="00802192">
        <w:rPr>
          <w:sz w:val="24"/>
          <w:szCs w:val="24"/>
        </w:rPr>
        <w:t xml:space="preserve"> </w:t>
      </w:r>
    </w:p>
    <w:p w14:paraId="769AB9D9" w14:textId="77777777" w:rsidR="004255D9" w:rsidRPr="00DD51CE" w:rsidRDefault="006733FC" w:rsidP="00003339">
      <w:pPr>
        <w:numPr>
          <w:ilvl w:val="0"/>
          <w:numId w:val="17"/>
        </w:numPr>
        <w:spacing w:before="120" w:after="120" w:line="240" w:lineRule="auto"/>
        <w:ind w:left="714" w:right="-23" w:hanging="357"/>
        <w:jc w:val="both"/>
        <w:rPr>
          <w:sz w:val="24"/>
          <w:szCs w:val="24"/>
        </w:rPr>
      </w:pPr>
      <w:r w:rsidRPr="00802192">
        <w:rPr>
          <w:sz w:val="24"/>
          <w:szCs w:val="24"/>
        </w:rPr>
        <w:t>mzdy a platy pracovníků, kteří jsou zaměstnáni výhradně na vzdělávacích aktivitách (platí i pro odměny z dohod k</w:t>
      </w:r>
      <w:r w:rsidRPr="00DD51CE">
        <w:rPr>
          <w:sz w:val="24"/>
          <w:szCs w:val="24"/>
        </w:rPr>
        <w:t xml:space="preserve">onaných mimo pracovní poměr); </w:t>
      </w:r>
    </w:p>
    <w:p w14:paraId="28D8ACEC" w14:textId="3F37A418" w:rsidR="004255D9" w:rsidRPr="00DD51CE" w:rsidRDefault="006733FC" w:rsidP="00802192">
      <w:pPr>
        <w:numPr>
          <w:ilvl w:val="0"/>
          <w:numId w:val="17"/>
        </w:numPr>
        <w:spacing w:after="120" w:line="240" w:lineRule="auto"/>
        <w:ind w:right="-28"/>
        <w:jc w:val="both"/>
        <w:rPr>
          <w:sz w:val="24"/>
          <w:szCs w:val="24"/>
        </w:rPr>
      </w:pPr>
      <w:r w:rsidRPr="00DD51CE">
        <w:rPr>
          <w:sz w:val="24"/>
          <w:szCs w:val="24"/>
        </w:rPr>
        <w:t>příslušná část mezd nebo platů zaměstnanců, kteří se na realizaci vzdělávacích aktivit podílejí pouze částí svého úvazku, a to v příslušné poměrné výši (platí i</w:t>
      </w:r>
      <w:r w:rsidR="00802192">
        <w:rPr>
          <w:sz w:val="24"/>
          <w:szCs w:val="24"/>
        </w:rPr>
        <w:t> </w:t>
      </w:r>
      <w:r w:rsidRPr="00DD51CE">
        <w:rPr>
          <w:sz w:val="24"/>
          <w:szCs w:val="24"/>
        </w:rPr>
        <w:t xml:space="preserve">pro odměny z dohod konaných mimo pracovní poměr); </w:t>
      </w:r>
    </w:p>
    <w:p w14:paraId="1B6EB393" w14:textId="66FDCF7B" w:rsidR="004255D9" w:rsidRPr="00DD51CE" w:rsidRDefault="006733FC" w:rsidP="00802192">
      <w:pPr>
        <w:numPr>
          <w:ilvl w:val="0"/>
          <w:numId w:val="17"/>
        </w:numPr>
        <w:spacing w:after="120" w:line="240" w:lineRule="auto"/>
        <w:ind w:right="-28"/>
        <w:jc w:val="both"/>
        <w:rPr>
          <w:sz w:val="24"/>
          <w:szCs w:val="24"/>
        </w:rPr>
      </w:pPr>
      <w:r w:rsidRPr="00DD51CE">
        <w:rPr>
          <w:sz w:val="24"/>
          <w:szCs w:val="24"/>
        </w:rPr>
        <w:t>mimořádné odměny dle § 134 Zákoníku práce nebo cílové odměny dle § 134a Zákoníku práce pracovníků, jejichž základní plat/mzda není hrazen/a z</w:t>
      </w:r>
      <w:r w:rsidR="00802192">
        <w:rPr>
          <w:sz w:val="24"/>
          <w:szCs w:val="24"/>
        </w:rPr>
        <w:t> </w:t>
      </w:r>
      <w:r w:rsidRPr="00DD51CE">
        <w:rPr>
          <w:sz w:val="24"/>
          <w:szCs w:val="24"/>
        </w:rPr>
        <w:t xml:space="preserve">rozpočtu </w:t>
      </w:r>
      <w:r w:rsidR="00802192">
        <w:rPr>
          <w:sz w:val="24"/>
          <w:szCs w:val="24"/>
        </w:rPr>
        <w:t>na specializační vzdělávání</w:t>
      </w:r>
      <w:r w:rsidRPr="00DD51CE">
        <w:rPr>
          <w:sz w:val="24"/>
          <w:szCs w:val="24"/>
        </w:rPr>
        <w:t xml:space="preserve">. </w:t>
      </w:r>
    </w:p>
    <w:p w14:paraId="00EBE014" w14:textId="232424D3"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Pracovní smlouvy a dohody o pracích konaných mimo pracovní poměr musí být uzavřeny v souladu se Zákoníkem práce. </w:t>
      </w:r>
    </w:p>
    <w:p w14:paraId="7400124A" w14:textId="4F4FEEA1"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Pracovní úvazky zaměstnance se nesmí překrývat a není možné, aby byl placen za stejnou práci vícekrát. Příjemce je povinen vést v relevantních případech evidenci o</w:t>
      </w:r>
      <w:r w:rsidR="00B0657C" w:rsidRPr="00DD51CE">
        <w:rPr>
          <w:sz w:val="24"/>
          <w:szCs w:val="24"/>
        </w:rPr>
        <w:t> </w:t>
      </w:r>
      <w:r w:rsidRPr="00DD51CE">
        <w:rPr>
          <w:sz w:val="24"/>
          <w:szCs w:val="24"/>
        </w:rPr>
        <w:t>personálním zajištění vzdělávacích aktivit a počtu odpracovaných hodin vztahující se k jednotlivým vzdělávacím aktivitám</w:t>
      </w:r>
      <w:r w:rsidRPr="00DD51CE">
        <w:rPr>
          <w:sz w:val="24"/>
          <w:szCs w:val="24"/>
          <w:vertAlign w:val="superscript"/>
        </w:rPr>
        <w:footnoteReference w:id="27"/>
      </w:r>
      <w:r w:rsidRPr="00DD51CE">
        <w:rPr>
          <w:sz w:val="24"/>
          <w:szCs w:val="24"/>
        </w:rPr>
        <w:t xml:space="preserve"> a doložit je při kontrole na místě. </w:t>
      </w:r>
    </w:p>
    <w:p w14:paraId="41CA9579" w14:textId="11E3ADEB"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Mzdovými náklady na zaměstnance se rozumí hrubá mzda/plat</w:t>
      </w:r>
      <w:r w:rsidRPr="00DD51CE">
        <w:rPr>
          <w:sz w:val="24"/>
          <w:szCs w:val="24"/>
          <w:vertAlign w:val="superscript"/>
        </w:rPr>
        <w:footnoteReference w:id="28"/>
      </w:r>
      <w:r w:rsidRPr="00DD51CE">
        <w:rPr>
          <w:sz w:val="24"/>
          <w:szCs w:val="24"/>
          <w:vertAlign w:val="superscript"/>
        </w:rPr>
        <w:t xml:space="preserve"> </w:t>
      </w:r>
      <w:r w:rsidRPr="00DD51CE">
        <w:rPr>
          <w:sz w:val="24"/>
          <w:szCs w:val="24"/>
        </w:rPr>
        <w:t xml:space="preserve">nebo odměna zaměstnanců pracujících na základě dohod o činnostech vykonávaných mimo pracovní poměr. </w:t>
      </w:r>
    </w:p>
    <w:p w14:paraId="13D51A40" w14:textId="78980DE0"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Dále jsou způsobilým výdajem odvody zaměstnavatele na sociální a zdravotní pojištění a</w:t>
      </w:r>
      <w:r w:rsidR="00B0657C" w:rsidRPr="00DD51CE">
        <w:rPr>
          <w:sz w:val="24"/>
          <w:szCs w:val="24"/>
        </w:rPr>
        <w:t> </w:t>
      </w:r>
      <w:r w:rsidRPr="00DD51CE">
        <w:rPr>
          <w:sz w:val="24"/>
          <w:szCs w:val="24"/>
        </w:rPr>
        <w:t xml:space="preserve">další poplatky spojené se zaměstnancem hrazené </w:t>
      </w:r>
      <w:r w:rsidR="00793A45">
        <w:rPr>
          <w:sz w:val="24"/>
          <w:szCs w:val="24"/>
        </w:rPr>
        <w:t>Příjemcem</w:t>
      </w:r>
      <w:r w:rsidRPr="00DD51CE">
        <w:rPr>
          <w:sz w:val="24"/>
          <w:szCs w:val="24"/>
        </w:rPr>
        <w:t xml:space="preserve"> povinně na základě právních předpisů.</w:t>
      </w:r>
      <w:r w:rsidRPr="00DD51CE">
        <w:rPr>
          <w:sz w:val="24"/>
          <w:szCs w:val="24"/>
          <w:vertAlign w:val="superscript"/>
        </w:rPr>
        <w:footnoteReference w:id="29"/>
      </w:r>
      <w:r w:rsidR="003642BC">
        <w:rPr>
          <w:sz w:val="24"/>
          <w:szCs w:val="24"/>
          <w:vertAlign w:val="superscript"/>
        </w:rPr>
        <w:t xml:space="preserve"> </w:t>
      </w:r>
      <w:r w:rsidRPr="00DD51CE">
        <w:rPr>
          <w:sz w:val="24"/>
          <w:szCs w:val="24"/>
        </w:rPr>
        <w:t xml:space="preserve">Způsobilými jsou ovšem pouze ty náklady, u nichž platí, že je s konečnou platností kryje </w:t>
      </w:r>
      <w:r w:rsidR="00793A45">
        <w:rPr>
          <w:sz w:val="24"/>
          <w:szCs w:val="24"/>
        </w:rPr>
        <w:t>Příjemce</w:t>
      </w:r>
      <w:r w:rsidRPr="00DD51CE">
        <w:rPr>
          <w:sz w:val="24"/>
          <w:szCs w:val="24"/>
        </w:rPr>
        <w:t>, tj. neexistuje u nich možnost, že by je jiný subjekt</w:t>
      </w:r>
      <w:r w:rsidR="003642BC">
        <w:rPr>
          <w:sz w:val="24"/>
          <w:szCs w:val="24"/>
        </w:rPr>
        <w:t xml:space="preserve"> (</w:t>
      </w:r>
      <w:r w:rsidRPr="00DD51CE">
        <w:rPr>
          <w:sz w:val="24"/>
          <w:szCs w:val="24"/>
        </w:rPr>
        <w:t>než MZ</w:t>
      </w:r>
      <w:r w:rsidR="003642BC">
        <w:rPr>
          <w:sz w:val="24"/>
          <w:szCs w:val="24"/>
        </w:rPr>
        <w:t>)</w:t>
      </w:r>
      <w:r w:rsidRPr="00DD51CE">
        <w:rPr>
          <w:sz w:val="24"/>
          <w:szCs w:val="24"/>
        </w:rPr>
        <w:t xml:space="preserve"> </w:t>
      </w:r>
      <w:r w:rsidR="00793A45">
        <w:rPr>
          <w:sz w:val="24"/>
          <w:szCs w:val="24"/>
        </w:rPr>
        <w:t>Pří</w:t>
      </w:r>
      <w:r w:rsidR="00112ABE">
        <w:rPr>
          <w:sz w:val="24"/>
          <w:szCs w:val="24"/>
        </w:rPr>
        <w:t>je</w:t>
      </w:r>
      <w:r w:rsidR="00793A45">
        <w:rPr>
          <w:sz w:val="24"/>
          <w:szCs w:val="24"/>
        </w:rPr>
        <w:t>mci</w:t>
      </w:r>
      <w:r w:rsidRPr="00DD51CE">
        <w:rPr>
          <w:sz w:val="24"/>
          <w:szCs w:val="24"/>
        </w:rPr>
        <w:t xml:space="preserve"> refundoval. </w:t>
      </w:r>
    </w:p>
    <w:p w14:paraId="715CD42D" w14:textId="2DFD4906"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lastRenderedPageBreak/>
        <w:t>U mimořádných či cílových odměn se za způsobilé považují tyto odměny a s nimi související odvody zaměstnavatele.</w:t>
      </w:r>
    </w:p>
    <w:p w14:paraId="1144B4C4" w14:textId="6ADCCF67"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Veškeré vyplacené odměny v</w:t>
      </w:r>
      <w:r w:rsidR="00802192">
        <w:rPr>
          <w:sz w:val="24"/>
          <w:szCs w:val="24"/>
        </w:rPr>
        <w:t xml:space="preserve"> </w:t>
      </w:r>
      <w:r w:rsidR="00802192" w:rsidRPr="00802192">
        <w:rPr>
          <w:sz w:val="24"/>
          <w:szCs w:val="24"/>
        </w:rPr>
        <w:t>rámci</w:t>
      </w:r>
      <w:r w:rsidRPr="00802192">
        <w:rPr>
          <w:sz w:val="24"/>
          <w:szCs w:val="24"/>
        </w:rPr>
        <w:t xml:space="preserve"> </w:t>
      </w:r>
      <w:r w:rsidR="00802192" w:rsidRPr="00802192">
        <w:rPr>
          <w:sz w:val="24"/>
          <w:szCs w:val="24"/>
        </w:rPr>
        <w:t>dotace</w:t>
      </w:r>
      <w:r w:rsidRPr="00802192">
        <w:rPr>
          <w:sz w:val="24"/>
          <w:szCs w:val="24"/>
        </w:rPr>
        <w:t xml:space="preserve"> musí náležet za činnosti vykonané pro </w:t>
      </w:r>
      <w:r w:rsidR="00802192" w:rsidRPr="00802192">
        <w:rPr>
          <w:sz w:val="24"/>
          <w:szCs w:val="24"/>
        </w:rPr>
        <w:t>účely plnění dotace</w:t>
      </w:r>
      <w:r w:rsidRPr="00802192">
        <w:rPr>
          <w:sz w:val="24"/>
          <w:szCs w:val="24"/>
        </w:rPr>
        <w:t>, tj. pro konkrétní vzdělávací aktivitu, a zároveň</w:t>
      </w:r>
      <w:r w:rsidRPr="00DD51CE">
        <w:rPr>
          <w:sz w:val="24"/>
          <w:szCs w:val="24"/>
        </w:rPr>
        <w:t xml:space="preserve"> musí souviset s činnostmi uvedenými v pracovní smlouvě</w:t>
      </w:r>
      <w:r w:rsidR="00983B27">
        <w:rPr>
          <w:sz w:val="24"/>
          <w:szCs w:val="24"/>
        </w:rPr>
        <w:t xml:space="preserve"> </w:t>
      </w:r>
      <w:r w:rsidRPr="00DD51CE">
        <w:rPr>
          <w:sz w:val="24"/>
          <w:szCs w:val="24"/>
        </w:rPr>
        <w:t>/</w:t>
      </w:r>
      <w:r w:rsidR="00983B27">
        <w:rPr>
          <w:sz w:val="24"/>
          <w:szCs w:val="24"/>
        </w:rPr>
        <w:t xml:space="preserve"> </w:t>
      </w:r>
      <w:r w:rsidRPr="00DD51CE">
        <w:rPr>
          <w:sz w:val="24"/>
          <w:szCs w:val="24"/>
        </w:rPr>
        <w:t xml:space="preserve">dohodě daného zaměstnance, resp. popisem pracovní pozice v dané organizaci. </w:t>
      </w:r>
    </w:p>
    <w:p w14:paraId="13D784C5" w14:textId="33240A9C" w:rsidR="004255D9"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Nezpůsobilé jsou pravidelné odměny</w:t>
      </w:r>
      <w:r w:rsidRPr="00DD51CE">
        <w:rPr>
          <w:sz w:val="24"/>
          <w:szCs w:val="24"/>
          <w:vertAlign w:val="superscript"/>
        </w:rPr>
        <w:footnoteReference w:id="30"/>
      </w:r>
      <w:r w:rsidRPr="00DD51CE">
        <w:rPr>
          <w:sz w:val="24"/>
          <w:szCs w:val="24"/>
          <w:vertAlign w:val="superscript"/>
        </w:rPr>
        <w:t xml:space="preserve"> </w:t>
      </w:r>
      <w:r w:rsidRPr="00DD51CE">
        <w:rPr>
          <w:sz w:val="24"/>
          <w:szCs w:val="24"/>
        </w:rPr>
        <w:t xml:space="preserve">a odměny nesouvisející s prací </w:t>
      </w:r>
      <w:r w:rsidR="00802192">
        <w:rPr>
          <w:sz w:val="24"/>
          <w:szCs w:val="24"/>
        </w:rPr>
        <w:t>při plnění účelu dotace</w:t>
      </w:r>
      <w:r w:rsidRPr="00DD51CE">
        <w:rPr>
          <w:sz w:val="24"/>
          <w:szCs w:val="24"/>
        </w:rPr>
        <w:t xml:space="preserve">. Odměnu nelze poskytnout osobám, které se podílely na vzniku nedostatků při realizaci </w:t>
      </w:r>
      <w:r w:rsidR="00802192">
        <w:rPr>
          <w:sz w:val="24"/>
          <w:szCs w:val="24"/>
        </w:rPr>
        <w:t>specializačního vzdělávání</w:t>
      </w:r>
      <w:r w:rsidRPr="00DD51CE">
        <w:rPr>
          <w:sz w:val="24"/>
          <w:szCs w:val="24"/>
        </w:rPr>
        <w:t>, pokud tyto nedostatky nebyly Příjemcem řádně zdůvodněny nebo pokud zdůvodnění nebylo akceptováno ze strany MZ.</w:t>
      </w:r>
    </w:p>
    <w:p w14:paraId="08B7C091" w14:textId="77777777" w:rsidR="00112ABE" w:rsidRPr="00DD51CE" w:rsidRDefault="00112ABE" w:rsidP="00112ABE">
      <w:pPr>
        <w:widowControl/>
        <w:pBdr>
          <w:top w:val="nil"/>
          <w:left w:val="nil"/>
          <w:bottom w:val="nil"/>
          <w:right w:val="nil"/>
          <w:between w:val="nil"/>
        </w:pBdr>
        <w:spacing w:after="120" w:line="240" w:lineRule="auto"/>
        <w:ind w:left="414"/>
        <w:jc w:val="both"/>
        <w:rPr>
          <w:sz w:val="24"/>
          <w:szCs w:val="24"/>
        </w:rPr>
      </w:pPr>
    </w:p>
    <w:p w14:paraId="738F631E" w14:textId="097CE95E" w:rsidR="004255D9" w:rsidRPr="00B930FE" w:rsidRDefault="006733FC" w:rsidP="00B930FE">
      <w:pPr>
        <w:pStyle w:val="Nadpis5"/>
      </w:pPr>
      <w:bookmarkStart w:id="22" w:name="_Toc30241192"/>
      <w:bookmarkStart w:id="23" w:name="_Toc32407801"/>
      <w:r w:rsidRPr="00B930FE">
        <w:t>2.3</w:t>
      </w:r>
      <w:r w:rsidR="00C97833" w:rsidRPr="00B930FE">
        <w:t>.3</w:t>
      </w:r>
      <w:r w:rsidRPr="00B930FE">
        <w:t>.</w:t>
      </w:r>
      <w:r w:rsidR="00402FBE">
        <w:t>4</w:t>
      </w:r>
      <w:r w:rsidRPr="00B930FE">
        <w:t>.2 Nákup služeb</w:t>
      </w:r>
      <w:bookmarkEnd w:id="22"/>
      <w:bookmarkEnd w:id="23"/>
      <w:r w:rsidRPr="00B930FE">
        <w:t xml:space="preserve"> </w:t>
      </w:r>
    </w:p>
    <w:p w14:paraId="5EDA5E1F" w14:textId="17D6C69B" w:rsidR="004255D9" w:rsidRPr="00802192" w:rsidRDefault="006733FC" w:rsidP="00DE45DF">
      <w:pPr>
        <w:widowControl/>
        <w:numPr>
          <w:ilvl w:val="0"/>
          <w:numId w:val="30"/>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Dodání služby musí být nezbytné pro realizaci vzdělávacích </w:t>
      </w:r>
      <w:r w:rsidRPr="00802192">
        <w:rPr>
          <w:sz w:val="24"/>
          <w:szCs w:val="24"/>
        </w:rPr>
        <w:t xml:space="preserve">aktivit v </w:t>
      </w:r>
      <w:r w:rsidR="00802192" w:rsidRPr="00802192">
        <w:rPr>
          <w:sz w:val="24"/>
          <w:szCs w:val="24"/>
        </w:rPr>
        <w:t>P</w:t>
      </w:r>
      <w:r w:rsidR="00B0657C" w:rsidRPr="00802192">
        <w:rPr>
          <w:sz w:val="24"/>
          <w:szCs w:val="24"/>
        </w:rPr>
        <w:t>rojekt</w:t>
      </w:r>
      <w:r w:rsidRPr="00802192">
        <w:rPr>
          <w:sz w:val="24"/>
          <w:szCs w:val="24"/>
        </w:rPr>
        <w:t>u.</w:t>
      </w:r>
    </w:p>
    <w:p w14:paraId="7A59BE93" w14:textId="77777777" w:rsidR="004255D9" w:rsidRPr="00802192" w:rsidRDefault="006733FC" w:rsidP="00DE45DF">
      <w:pPr>
        <w:widowControl/>
        <w:numPr>
          <w:ilvl w:val="0"/>
          <w:numId w:val="30"/>
        </w:numPr>
        <w:pBdr>
          <w:top w:val="nil"/>
          <w:left w:val="nil"/>
          <w:bottom w:val="nil"/>
          <w:right w:val="nil"/>
          <w:between w:val="nil"/>
        </w:pBdr>
        <w:spacing w:after="120" w:line="240" w:lineRule="auto"/>
        <w:ind w:left="414" w:hanging="357"/>
        <w:jc w:val="both"/>
        <w:rPr>
          <w:sz w:val="24"/>
          <w:szCs w:val="24"/>
        </w:rPr>
      </w:pPr>
      <w:r w:rsidRPr="00802192">
        <w:rPr>
          <w:sz w:val="24"/>
          <w:szCs w:val="24"/>
        </w:rPr>
        <w:t>Předmětem nákupu mohou být zejména následující služby:</w:t>
      </w:r>
    </w:p>
    <w:p w14:paraId="5FF0FC25" w14:textId="77777777" w:rsidR="004255D9" w:rsidRPr="00802192" w:rsidRDefault="006733FC" w:rsidP="00DE45DF">
      <w:pPr>
        <w:numPr>
          <w:ilvl w:val="0"/>
          <w:numId w:val="13"/>
        </w:numPr>
        <w:spacing w:after="120" w:line="240" w:lineRule="auto"/>
        <w:jc w:val="both"/>
        <w:rPr>
          <w:sz w:val="24"/>
          <w:szCs w:val="24"/>
        </w:rPr>
      </w:pPr>
      <w:r w:rsidRPr="00802192">
        <w:rPr>
          <w:sz w:val="24"/>
          <w:szCs w:val="24"/>
        </w:rPr>
        <w:t>lektorské služby;</w:t>
      </w:r>
    </w:p>
    <w:p w14:paraId="3B060344" w14:textId="77777777" w:rsidR="004255D9" w:rsidRPr="00DD51CE" w:rsidRDefault="006733FC" w:rsidP="00DE45DF">
      <w:pPr>
        <w:numPr>
          <w:ilvl w:val="0"/>
          <w:numId w:val="13"/>
        </w:numPr>
        <w:spacing w:after="120" w:line="240" w:lineRule="auto"/>
        <w:jc w:val="both"/>
        <w:rPr>
          <w:sz w:val="24"/>
          <w:szCs w:val="24"/>
        </w:rPr>
      </w:pPr>
      <w:r w:rsidRPr="00DD51CE">
        <w:rPr>
          <w:sz w:val="24"/>
          <w:szCs w:val="24"/>
        </w:rPr>
        <w:t>příprava školících materiálů nebo manuálů (nejedná se o nákup původních děl);</w:t>
      </w:r>
    </w:p>
    <w:p w14:paraId="70B809CA" w14:textId="77777777" w:rsidR="004255D9" w:rsidRPr="00DD51CE" w:rsidRDefault="006733FC" w:rsidP="00DE45DF">
      <w:pPr>
        <w:numPr>
          <w:ilvl w:val="0"/>
          <w:numId w:val="13"/>
        </w:numPr>
        <w:spacing w:after="120" w:line="240" w:lineRule="auto"/>
        <w:jc w:val="both"/>
        <w:rPr>
          <w:sz w:val="24"/>
          <w:szCs w:val="24"/>
        </w:rPr>
      </w:pPr>
      <w:r w:rsidRPr="00DD51CE">
        <w:rPr>
          <w:sz w:val="24"/>
          <w:szCs w:val="24"/>
        </w:rPr>
        <w:t>pronájem prostor pro práci s účastníky (např. pronájem učebny);</w:t>
      </w:r>
    </w:p>
    <w:p w14:paraId="5F5C6C2A" w14:textId="77777777" w:rsidR="004255D9" w:rsidRPr="00DD51CE" w:rsidRDefault="006733FC" w:rsidP="00DE45DF">
      <w:pPr>
        <w:numPr>
          <w:ilvl w:val="0"/>
          <w:numId w:val="13"/>
        </w:numPr>
        <w:spacing w:after="120" w:line="240" w:lineRule="auto"/>
        <w:jc w:val="both"/>
        <w:rPr>
          <w:sz w:val="24"/>
          <w:szCs w:val="24"/>
        </w:rPr>
      </w:pPr>
      <w:r w:rsidRPr="00DD51CE">
        <w:rPr>
          <w:sz w:val="24"/>
          <w:szCs w:val="24"/>
        </w:rPr>
        <w:t>občerstvení formou služby</w:t>
      </w:r>
      <w:r w:rsidRPr="00DD51CE">
        <w:rPr>
          <w:sz w:val="24"/>
          <w:szCs w:val="24"/>
          <w:vertAlign w:val="superscript"/>
        </w:rPr>
        <w:footnoteReference w:id="31"/>
      </w:r>
      <w:r w:rsidRPr="00DD51CE">
        <w:rPr>
          <w:sz w:val="24"/>
          <w:szCs w:val="24"/>
        </w:rPr>
        <w:t xml:space="preserve"> (catering);</w:t>
      </w:r>
    </w:p>
    <w:p w14:paraId="77AE62BE" w14:textId="77777777" w:rsidR="004255D9" w:rsidRPr="00DD51CE" w:rsidRDefault="006733FC" w:rsidP="00DE45DF">
      <w:pPr>
        <w:numPr>
          <w:ilvl w:val="0"/>
          <w:numId w:val="13"/>
        </w:numPr>
        <w:spacing w:after="120" w:line="240" w:lineRule="auto"/>
        <w:jc w:val="both"/>
        <w:rPr>
          <w:rFonts w:eastAsia="Times New Roman"/>
          <w:sz w:val="24"/>
          <w:szCs w:val="24"/>
        </w:rPr>
      </w:pPr>
      <w:r w:rsidRPr="00DD51CE">
        <w:rPr>
          <w:sz w:val="24"/>
          <w:szCs w:val="24"/>
        </w:rPr>
        <w:t>energie, vodné, stočné, internetové a telefonní připojení, úklid, poštovné apod.</w:t>
      </w:r>
    </w:p>
    <w:p w14:paraId="74225818" w14:textId="6693F111" w:rsidR="004255D9" w:rsidRPr="00DD51CE" w:rsidRDefault="006733FC" w:rsidP="00DE45DF">
      <w:pPr>
        <w:widowControl/>
        <w:numPr>
          <w:ilvl w:val="0"/>
          <w:numId w:val="30"/>
        </w:numPr>
        <w:pBdr>
          <w:top w:val="nil"/>
          <w:left w:val="nil"/>
          <w:bottom w:val="nil"/>
          <w:right w:val="nil"/>
          <w:between w:val="nil"/>
        </w:pBdr>
        <w:spacing w:after="120" w:line="240" w:lineRule="auto"/>
        <w:ind w:left="414" w:hanging="357"/>
        <w:jc w:val="both"/>
        <w:rPr>
          <w:sz w:val="24"/>
          <w:szCs w:val="24"/>
        </w:rPr>
      </w:pPr>
      <w:r w:rsidRPr="00DD51CE">
        <w:rPr>
          <w:sz w:val="24"/>
          <w:szCs w:val="24"/>
        </w:rPr>
        <w:t>Interní fakturace není chápána jako nákup služeb, ale pro doložení způsobilosti výdajů je nutné interní faktury doprovázet kalkulacemi s odkazy na konkrétní účetní doklady, které dokládají skutečně vzniklé výdaje Příjemce zahrnuté do interní faktury. Do částky fakturované formou interní faktury nesmí být zahrnut žádný zisk.</w:t>
      </w:r>
    </w:p>
    <w:p w14:paraId="649A8D9F" w14:textId="77777777" w:rsidR="004255D9" w:rsidRPr="00DD51CE" w:rsidRDefault="004255D9" w:rsidP="00DD51CE">
      <w:pPr>
        <w:spacing w:after="120" w:line="240" w:lineRule="auto"/>
        <w:ind w:left="720"/>
        <w:jc w:val="both"/>
        <w:rPr>
          <w:sz w:val="24"/>
          <w:szCs w:val="24"/>
        </w:rPr>
      </w:pPr>
    </w:p>
    <w:p w14:paraId="1838052D" w14:textId="21D59499" w:rsidR="004255D9" w:rsidRPr="00B930FE" w:rsidRDefault="006733FC" w:rsidP="00B930FE">
      <w:pPr>
        <w:pStyle w:val="Nadpis5"/>
      </w:pPr>
      <w:bookmarkStart w:id="24" w:name="_Toc30241193"/>
      <w:bookmarkStart w:id="25" w:name="_Toc32407802"/>
      <w:r w:rsidRPr="00B930FE">
        <w:t>2.3</w:t>
      </w:r>
      <w:r w:rsidR="00C97833" w:rsidRPr="00B930FE">
        <w:t>.3</w:t>
      </w:r>
      <w:r w:rsidRPr="00B930FE">
        <w:t>.</w:t>
      </w:r>
      <w:r w:rsidR="00402FBE">
        <w:t>4</w:t>
      </w:r>
      <w:r w:rsidRPr="00B930FE">
        <w:t>.3 Nákup občerstvení</w:t>
      </w:r>
      <w:bookmarkEnd w:id="24"/>
      <w:bookmarkEnd w:id="25"/>
      <w:r w:rsidRPr="00B930FE">
        <w:t xml:space="preserve"> </w:t>
      </w:r>
    </w:p>
    <w:p w14:paraId="382B3EDA" w14:textId="7A8E454B" w:rsidR="004255D9" w:rsidRDefault="006733FC" w:rsidP="00DD51CE">
      <w:pPr>
        <w:spacing w:after="120" w:line="240" w:lineRule="auto"/>
        <w:rPr>
          <w:sz w:val="24"/>
          <w:szCs w:val="24"/>
        </w:rPr>
      </w:pPr>
      <w:r w:rsidRPr="00DD51CE">
        <w:rPr>
          <w:sz w:val="24"/>
          <w:szCs w:val="24"/>
        </w:rPr>
        <w:t xml:space="preserve">Limit pro občerstvení pro účastníky po dobu trvání výuky na </w:t>
      </w:r>
      <w:r w:rsidR="00C22360">
        <w:rPr>
          <w:sz w:val="24"/>
          <w:szCs w:val="24"/>
        </w:rPr>
        <w:t>KA</w:t>
      </w:r>
      <w:r w:rsidRPr="00DD51CE">
        <w:rPr>
          <w:sz w:val="24"/>
          <w:szCs w:val="24"/>
        </w:rPr>
        <w:t xml:space="preserve">5 až </w:t>
      </w:r>
      <w:r w:rsidR="00C22360">
        <w:rPr>
          <w:sz w:val="24"/>
          <w:szCs w:val="24"/>
        </w:rPr>
        <w:t>KA</w:t>
      </w:r>
      <w:r w:rsidRPr="00DD51CE">
        <w:rPr>
          <w:sz w:val="24"/>
          <w:szCs w:val="24"/>
        </w:rPr>
        <w:t>9 je stanoven na 150</w:t>
      </w:r>
      <w:r w:rsidR="0098107C">
        <w:rPr>
          <w:sz w:val="24"/>
          <w:szCs w:val="24"/>
        </w:rPr>
        <w:t>,-</w:t>
      </w:r>
      <w:r w:rsidRPr="00DD51CE">
        <w:rPr>
          <w:sz w:val="24"/>
          <w:szCs w:val="24"/>
        </w:rPr>
        <w:t xml:space="preserve"> Kč na osobu a den. </w:t>
      </w:r>
    </w:p>
    <w:p w14:paraId="2E8D88FE" w14:textId="77777777" w:rsidR="00112ABE" w:rsidRPr="00DD51CE" w:rsidRDefault="00112ABE" w:rsidP="00DD51CE">
      <w:pPr>
        <w:spacing w:after="120" w:line="240" w:lineRule="auto"/>
        <w:rPr>
          <w:sz w:val="24"/>
          <w:szCs w:val="24"/>
        </w:rPr>
      </w:pPr>
    </w:p>
    <w:p w14:paraId="05FADF57" w14:textId="162F21AD" w:rsidR="004255D9" w:rsidRPr="00DD51CE" w:rsidRDefault="006733FC" w:rsidP="006F3A94">
      <w:pPr>
        <w:pStyle w:val="Nadpis5"/>
      </w:pPr>
      <w:bookmarkStart w:id="26" w:name="_Toc30241194"/>
      <w:bookmarkStart w:id="27" w:name="_Toc32407803"/>
      <w:r w:rsidRPr="00DD51CE">
        <w:lastRenderedPageBreak/>
        <w:t>2.3</w:t>
      </w:r>
      <w:r w:rsidR="00C97833" w:rsidRPr="00DD51CE">
        <w:t>.3</w:t>
      </w:r>
      <w:r w:rsidRPr="00DD51CE">
        <w:t>.</w:t>
      </w:r>
      <w:r w:rsidR="00402FBE">
        <w:t>4</w:t>
      </w:r>
      <w:r w:rsidRPr="00DD51CE">
        <w:t>.4 Další druhy výdajů</w:t>
      </w:r>
      <w:bookmarkEnd w:id="26"/>
      <w:bookmarkEnd w:id="27"/>
    </w:p>
    <w:p w14:paraId="0456C6FB" w14:textId="35237895" w:rsidR="004255D9" w:rsidRPr="00DD51CE" w:rsidRDefault="006733FC" w:rsidP="000D1006">
      <w:pPr>
        <w:keepNext/>
        <w:keepLines/>
        <w:spacing w:after="120" w:line="240" w:lineRule="auto"/>
        <w:jc w:val="both"/>
        <w:rPr>
          <w:sz w:val="24"/>
          <w:szCs w:val="24"/>
        </w:rPr>
      </w:pPr>
      <w:r w:rsidRPr="00DD51CE">
        <w:rPr>
          <w:sz w:val="24"/>
          <w:szCs w:val="24"/>
        </w:rPr>
        <w:t>U dalších typů výdajů jsou Příjemci povinni postupovat podle následujících podkapitol</w:t>
      </w:r>
      <w:r w:rsidRPr="00DD51CE">
        <w:rPr>
          <w:sz w:val="24"/>
          <w:szCs w:val="24"/>
          <w:vertAlign w:val="superscript"/>
        </w:rPr>
        <w:footnoteReference w:id="32"/>
      </w:r>
      <w:r w:rsidRPr="00DD51CE">
        <w:rPr>
          <w:sz w:val="24"/>
          <w:szCs w:val="24"/>
        </w:rPr>
        <w:t xml:space="preserve"> uvedených ve Specifických pravidlech:</w:t>
      </w:r>
    </w:p>
    <w:p w14:paraId="23B9EC4E" w14:textId="77777777" w:rsidR="004255D9" w:rsidRPr="00DD51CE" w:rsidRDefault="006733FC" w:rsidP="006F3A94">
      <w:pPr>
        <w:keepNext/>
        <w:keepLines/>
        <w:spacing w:after="120" w:line="240" w:lineRule="auto"/>
        <w:ind w:left="708"/>
        <w:rPr>
          <w:sz w:val="24"/>
          <w:szCs w:val="24"/>
        </w:rPr>
      </w:pPr>
      <w:r w:rsidRPr="00DD51CE">
        <w:rPr>
          <w:sz w:val="24"/>
          <w:szCs w:val="24"/>
        </w:rPr>
        <w:t xml:space="preserve">6.2.2 Cestovné </w:t>
      </w:r>
    </w:p>
    <w:p w14:paraId="2EAB36AB" w14:textId="77777777" w:rsidR="004255D9" w:rsidRPr="00DD51CE" w:rsidRDefault="006733FC" w:rsidP="00DD51CE">
      <w:pPr>
        <w:spacing w:after="120" w:line="240" w:lineRule="auto"/>
        <w:ind w:left="708"/>
        <w:rPr>
          <w:sz w:val="24"/>
          <w:szCs w:val="24"/>
        </w:rPr>
      </w:pPr>
      <w:r w:rsidRPr="00DD51CE">
        <w:rPr>
          <w:sz w:val="24"/>
          <w:szCs w:val="24"/>
        </w:rPr>
        <w:t>6.2.3 Nákup zařízení a vybavení a spotřebního materiálu</w:t>
      </w:r>
      <w:r w:rsidRPr="00DD51CE">
        <w:rPr>
          <w:rFonts w:eastAsia="Times New Roman"/>
          <w:sz w:val="24"/>
          <w:szCs w:val="24"/>
          <w:vertAlign w:val="superscript"/>
        </w:rPr>
        <w:footnoteReference w:id="33"/>
      </w:r>
      <w:r w:rsidRPr="00DD51CE">
        <w:rPr>
          <w:rFonts w:eastAsia="Times New Roman"/>
          <w:sz w:val="24"/>
          <w:szCs w:val="24"/>
        </w:rPr>
        <w:t xml:space="preserve"> </w:t>
      </w:r>
    </w:p>
    <w:p w14:paraId="795CF8C9" w14:textId="4E98BD26" w:rsidR="004255D9" w:rsidRDefault="006733FC" w:rsidP="00DD51CE">
      <w:pPr>
        <w:spacing w:after="120" w:line="240" w:lineRule="auto"/>
        <w:ind w:left="708"/>
        <w:rPr>
          <w:sz w:val="24"/>
          <w:szCs w:val="24"/>
        </w:rPr>
      </w:pPr>
      <w:r w:rsidRPr="00DD51CE">
        <w:rPr>
          <w:sz w:val="24"/>
          <w:szCs w:val="24"/>
        </w:rPr>
        <w:t xml:space="preserve">6.2.4 Nájem či leasing zařízení a vybavení, budov </w:t>
      </w:r>
    </w:p>
    <w:p w14:paraId="549D4A4C" w14:textId="77777777" w:rsidR="00CE42AD" w:rsidRPr="00DD51CE" w:rsidRDefault="00CE42AD" w:rsidP="00DD51CE">
      <w:pPr>
        <w:spacing w:after="120" w:line="240" w:lineRule="auto"/>
        <w:ind w:left="708"/>
        <w:rPr>
          <w:sz w:val="24"/>
          <w:szCs w:val="24"/>
        </w:rPr>
      </w:pPr>
    </w:p>
    <w:p w14:paraId="56BAE8A8" w14:textId="6CF027AE" w:rsidR="004255D9" w:rsidRPr="00B930FE" w:rsidRDefault="006733FC" w:rsidP="00B930FE">
      <w:pPr>
        <w:pStyle w:val="Nadpis1"/>
      </w:pPr>
      <w:bookmarkStart w:id="28" w:name="_2x4neemr400g" w:colFirst="0" w:colLast="0"/>
      <w:bookmarkStart w:id="29" w:name="_fr1tmeuywlyl" w:colFirst="0" w:colLast="0"/>
      <w:bookmarkStart w:id="30" w:name="_Toc32407804"/>
      <w:bookmarkEnd w:id="28"/>
      <w:bookmarkEnd w:id="29"/>
      <w:r w:rsidRPr="00B930FE">
        <w:t>3. MONITOROVÁNÍ A VYÚČTOVÁNÍ</w:t>
      </w:r>
      <w:bookmarkEnd w:id="30"/>
      <w:r w:rsidRPr="00B930FE">
        <w:t xml:space="preserve"> </w:t>
      </w:r>
    </w:p>
    <w:p w14:paraId="5B7C4EDE" w14:textId="231C9222" w:rsidR="004255D9" w:rsidRPr="00B930FE" w:rsidRDefault="006733FC" w:rsidP="00B930FE">
      <w:pPr>
        <w:pStyle w:val="Nadpis2"/>
      </w:pPr>
      <w:bookmarkStart w:id="31" w:name="_Toc32407805"/>
      <w:r w:rsidRPr="00B930FE">
        <w:t>3.1</w:t>
      </w:r>
      <w:r w:rsidR="00BB174D">
        <w:t xml:space="preserve"> MONITOROVACÍ OBDOBÍ</w:t>
      </w:r>
      <w:bookmarkEnd w:id="31"/>
    </w:p>
    <w:p w14:paraId="431F40A8" w14:textId="652BF38E" w:rsidR="00BC5C4B" w:rsidRPr="00DD51CE" w:rsidRDefault="006733FC" w:rsidP="00DE45DF">
      <w:pPr>
        <w:widowControl/>
        <w:numPr>
          <w:ilvl w:val="0"/>
          <w:numId w:val="31"/>
        </w:numPr>
        <w:pBdr>
          <w:top w:val="nil"/>
          <w:left w:val="nil"/>
          <w:bottom w:val="nil"/>
          <w:right w:val="nil"/>
          <w:between w:val="nil"/>
        </w:pBdr>
        <w:spacing w:after="120" w:line="240" w:lineRule="auto"/>
        <w:ind w:left="414" w:hanging="357"/>
        <w:jc w:val="both"/>
        <w:rPr>
          <w:rFonts w:eastAsia="Calibri"/>
          <w:sz w:val="24"/>
          <w:szCs w:val="24"/>
        </w:rPr>
      </w:pPr>
      <w:r w:rsidRPr="00DD51CE">
        <w:rPr>
          <w:rFonts w:eastAsia="Cambria"/>
          <w:sz w:val="24"/>
          <w:szCs w:val="24"/>
        </w:rPr>
        <w:t xml:space="preserve">Příjemce informuje </w:t>
      </w:r>
      <w:r w:rsidR="0041553A">
        <w:rPr>
          <w:rFonts w:eastAsia="Cambria"/>
          <w:sz w:val="24"/>
          <w:szCs w:val="24"/>
        </w:rPr>
        <w:t>MZ</w:t>
      </w:r>
      <w:r w:rsidRPr="00DD51CE">
        <w:rPr>
          <w:rFonts w:eastAsia="Cambria"/>
          <w:sz w:val="24"/>
          <w:szCs w:val="24"/>
        </w:rPr>
        <w:t xml:space="preserve"> o postupu plnění účelu dotace </w:t>
      </w:r>
      <w:r w:rsidRPr="00DD51CE">
        <w:rPr>
          <w:rFonts w:eastAsia="Calibri"/>
          <w:sz w:val="24"/>
          <w:szCs w:val="24"/>
        </w:rPr>
        <w:t xml:space="preserve">za stanovená monitorovací období. </w:t>
      </w:r>
      <w:r w:rsidR="00F77106" w:rsidRPr="00DD51CE">
        <w:rPr>
          <w:rFonts w:eastAsia="Calibri"/>
          <w:sz w:val="24"/>
          <w:szCs w:val="24"/>
        </w:rPr>
        <w:t>Dokumentace k průběžnému monitorování a</w:t>
      </w:r>
      <w:r w:rsidR="00845DB5">
        <w:rPr>
          <w:rFonts w:eastAsia="Calibri"/>
          <w:sz w:val="24"/>
          <w:szCs w:val="24"/>
        </w:rPr>
        <w:t> </w:t>
      </w:r>
      <w:r w:rsidR="00F77106" w:rsidRPr="007D39D1">
        <w:rPr>
          <w:sz w:val="24"/>
          <w:szCs w:val="24"/>
        </w:rPr>
        <w:t>vyúčtování</w:t>
      </w:r>
      <w:r w:rsidR="00F77106" w:rsidRPr="00DD51CE">
        <w:rPr>
          <w:rFonts w:eastAsia="Calibri"/>
          <w:sz w:val="24"/>
          <w:szCs w:val="24"/>
        </w:rPr>
        <w:t xml:space="preserve"> </w:t>
      </w:r>
      <w:r w:rsidR="00F77106" w:rsidRPr="007D39D1">
        <w:rPr>
          <w:rFonts w:eastAsia="Cambria"/>
          <w:sz w:val="24"/>
          <w:szCs w:val="24"/>
        </w:rPr>
        <w:t>dotace</w:t>
      </w:r>
      <w:r w:rsidR="00F77106" w:rsidRPr="00DD51CE">
        <w:rPr>
          <w:rFonts w:eastAsia="Calibri"/>
          <w:sz w:val="24"/>
          <w:szCs w:val="24"/>
        </w:rPr>
        <w:t xml:space="preserve"> </w:t>
      </w:r>
      <w:r w:rsidR="00BC5C4B" w:rsidRPr="00DD51CE">
        <w:rPr>
          <w:rFonts w:eastAsia="Cambria"/>
          <w:sz w:val="24"/>
          <w:szCs w:val="24"/>
        </w:rPr>
        <w:t xml:space="preserve">– </w:t>
      </w:r>
      <w:r w:rsidR="00402FBE">
        <w:rPr>
          <w:rFonts w:eastAsia="Cambria"/>
          <w:sz w:val="24"/>
          <w:szCs w:val="24"/>
        </w:rPr>
        <w:t xml:space="preserve">tabulka </w:t>
      </w:r>
      <w:bookmarkStart w:id="32" w:name="_Hlk31816787"/>
      <w:r w:rsidR="00667856">
        <w:rPr>
          <w:rFonts w:eastAsia="Cambria"/>
          <w:sz w:val="24"/>
          <w:szCs w:val="24"/>
        </w:rPr>
        <w:t>V</w:t>
      </w:r>
      <w:r w:rsidR="00402FBE" w:rsidRPr="00DB3375">
        <w:rPr>
          <w:rFonts w:eastAsia="Cambria"/>
          <w:sz w:val="24"/>
          <w:szCs w:val="24"/>
        </w:rPr>
        <w:t xml:space="preserve">yúčtování, Zpráva o </w:t>
      </w:r>
      <w:r w:rsidR="00983B27">
        <w:rPr>
          <w:rFonts w:eastAsia="Cambria"/>
          <w:sz w:val="24"/>
          <w:szCs w:val="24"/>
        </w:rPr>
        <w:t xml:space="preserve">průběhu </w:t>
      </w:r>
      <w:r w:rsidR="00DB3375" w:rsidRPr="00DB3375">
        <w:rPr>
          <w:rFonts w:eastAsia="Cambria"/>
          <w:sz w:val="24"/>
          <w:szCs w:val="24"/>
        </w:rPr>
        <w:t>specializační</w:t>
      </w:r>
      <w:r w:rsidR="00983B27">
        <w:rPr>
          <w:rFonts w:eastAsia="Cambria"/>
          <w:sz w:val="24"/>
          <w:szCs w:val="24"/>
        </w:rPr>
        <w:t>ho</w:t>
      </w:r>
      <w:r w:rsidR="00DB3375" w:rsidRPr="00DB3375">
        <w:rPr>
          <w:rFonts w:eastAsia="Cambria"/>
          <w:sz w:val="24"/>
          <w:szCs w:val="24"/>
        </w:rPr>
        <w:t xml:space="preserve"> vzdělávání</w:t>
      </w:r>
      <w:r w:rsidR="00402FBE">
        <w:rPr>
          <w:rFonts w:eastAsia="Cambria"/>
          <w:sz w:val="24"/>
          <w:szCs w:val="24"/>
        </w:rPr>
        <w:t xml:space="preserve"> a další </w:t>
      </w:r>
      <w:r w:rsidR="00F77106" w:rsidRPr="00DD51CE">
        <w:rPr>
          <w:rFonts w:eastAsia="Calibri"/>
          <w:sz w:val="24"/>
          <w:szCs w:val="24"/>
        </w:rPr>
        <w:t>podklady</w:t>
      </w:r>
      <w:r w:rsidR="00402FBE">
        <w:rPr>
          <w:rFonts w:eastAsia="Calibri"/>
          <w:sz w:val="24"/>
          <w:szCs w:val="24"/>
        </w:rPr>
        <w:t xml:space="preserve"> </w:t>
      </w:r>
      <w:r w:rsidR="00402FBE" w:rsidRPr="00DD51CE">
        <w:rPr>
          <w:rFonts w:eastAsia="Cambria"/>
          <w:sz w:val="24"/>
          <w:szCs w:val="24"/>
        </w:rPr>
        <w:t xml:space="preserve">– </w:t>
      </w:r>
      <w:r w:rsidRPr="00DD51CE">
        <w:rPr>
          <w:rFonts w:eastAsia="Calibri"/>
          <w:sz w:val="24"/>
          <w:szCs w:val="24"/>
        </w:rPr>
        <w:t>j</w:t>
      </w:r>
      <w:r w:rsidR="00402FBE">
        <w:rPr>
          <w:rFonts w:eastAsia="Calibri"/>
          <w:sz w:val="24"/>
          <w:szCs w:val="24"/>
        </w:rPr>
        <w:t>e</w:t>
      </w:r>
      <w:r w:rsidRPr="00DD51CE">
        <w:rPr>
          <w:rFonts w:eastAsia="Calibri"/>
          <w:sz w:val="24"/>
          <w:szCs w:val="24"/>
        </w:rPr>
        <w:t xml:space="preserve"> podáván</w:t>
      </w:r>
      <w:r w:rsidR="00402FBE">
        <w:rPr>
          <w:rFonts w:eastAsia="Calibri"/>
          <w:sz w:val="24"/>
          <w:szCs w:val="24"/>
        </w:rPr>
        <w:t>a</w:t>
      </w:r>
      <w:r w:rsidRPr="00DD51CE">
        <w:rPr>
          <w:rFonts w:eastAsia="Calibri"/>
          <w:sz w:val="24"/>
          <w:szCs w:val="24"/>
        </w:rPr>
        <w:t xml:space="preserve"> </w:t>
      </w:r>
      <w:r w:rsidR="00F5373F">
        <w:rPr>
          <w:rFonts w:eastAsia="Calibri"/>
          <w:sz w:val="24"/>
          <w:szCs w:val="24"/>
        </w:rPr>
        <w:t xml:space="preserve">zpravidla </w:t>
      </w:r>
      <w:r w:rsidRPr="00DD51CE">
        <w:rPr>
          <w:rFonts w:eastAsia="Calibri"/>
          <w:sz w:val="24"/>
          <w:szCs w:val="24"/>
        </w:rPr>
        <w:t xml:space="preserve">do 1 kalendářního měsíce od konce monitorovacího období. </w:t>
      </w:r>
    </w:p>
    <w:p w14:paraId="62265C48" w14:textId="01C379AB" w:rsidR="00BC5C4B" w:rsidRPr="00DD51CE" w:rsidRDefault="006733FC" w:rsidP="007D39D1">
      <w:pPr>
        <w:spacing w:before="240" w:after="120" w:line="240" w:lineRule="auto"/>
        <w:ind w:left="426"/>
        <w:jc w:val="both"/>
        <w:rPr>
          <w:rFonts w:eastAsia="Calibri"/>
          <w:sz w:val="24"/>
          <w:szCs w:val="24"/>
        </w:rPr>
      </w:pPr>
      <w:r w:rsidRPr="00DD51CE">
        <w:rPr>
          <w:rFonts w:eastAsia="Calibri"/>
          <w:sz w:val="24"/>
          <w:szCs w:val="24"/>
        </w:rPr>
        <w:t>Délka monitorovacích období je stanovena v níže uvedené tabulce. Poslední monitorovací období se však zkrátí v případě, že účastník úspěšně absolvuje atestační zkoušku dříve než na podzim v roce 2022. Monitorovací období pak končí dnem atestační zkoušky, lhůta pro podání poslední</w:t>
      </w:r>
      <w:r w:rsidR="00F77106" w:rsidRPr="00DD51CE">
        <w:rPr>
          <w:rFonts w:eastAsia="Calibri"/>
          <w:sz w:val="24"/>
          <w:szCs w:val="24"/>
        </w:rPr>
        <w:t>ch podkladů pro vyúčtování</w:t>
      </w:r>
      <w:r w:rsidRPr="00DD51CE">
        <w:rPr>
          <w:rFonts w:eastAsia="Calibri"/>
          <w:sz w:val="24"/>
          <w:szCs w:val="24"/>
        </w:rPr>
        <w:t xml:space="preserve"> je v tomto případě do konce měsíce následujícího po složení atestační zkoušky</w:t>
      </w:r>
      <w:r w:rsidR="00BC5C4B" w:rsidRPr="00DD51CE">
        <w:rPr>
          <w:rFonts w:eastAsia="Calibri"/>
          <w:sz w:val="24"/>
          <w:szCs w:val="24"/>
        </w:rPr>
        <w:t>.</w:t>
      </w:r>
    </w:p>
    <w:p w14:paraId="7A116870" w14:textId="028F0C52" w:rsidR="00BC5C4B" w:rsidRPr="00DD51CE" w:rsidRDefault="00BC5C4B" w:rsidP="007D39D1">
      <w:pPr>
        <w:spacing w:before="240" w:after="120" w:line="240" w:lineRule="auto"/>
        <w:ind w:left="426"/>
        <w:jc w:val="both"/>
        <w:rPr>
          <w:rFonts w:eastAsia="Calibri"/>
          <w:sz w:val="24"/>
          <w:szCs w:val="24"/>
        </w:rPr>
      </w:pPr>
      <w:r w:rsidRPr="00DD51CE">
        <w:rPr>
          <w:rFonts w:eastAsia="Calibri"/>
          <w:sz w:val="24"/>
          <w:szCs w:val="24"/>
        </w:rPr>
        <w:t>V případě potřeby může Příjemce e-mailem na</w:t>
      </w:r>
      <w:r w:rsidR="00F442D2">
        <w:rPr>
          <w:rFonts w:eastAsia="Calibri"/>
          <w:sz w:val="24"/>
          <w:szCs w:val="24"/>
        </w:rPr>
        <w:t xml:space="preserve"> adresu</w:t>
      </w:r>
      <w:r w:rsidRPr="00DD51CE">
        <w:rPr>
          <w:rFonts w:eastAsia="Calibri"/>
          <w:sz w:val="24"/>
          <w:szCs w:val="24"/>
        </w:rPr>
        <w:t xml:space="preserve"> </w:t>
      </w:r>
      <w:hyperlink r:id="rId9" w:history="1">
        <w:r w:rsidR="003F7924" w:rsidRPr="002B3A12">
          <w:rPr>
            <w:rStyle w:val="Hypertextovodkaz"/>
            <w:rFonts w:eastAsia="Calibri"/>
            <w:sz w:val="24"/>
            <w:szCs w:val="24"/>
          </w:rPr>
          <w:t>neurologove2@mzcr.cz</w:t>
        </w:r>
      </w:hyperlink>
      <w:r w:rsidRPr="00DD51CE">
        <w:rPr>
          <w:rFonts w:eastAsia="Calibri"/>
          <w:sz w:val="24"/>
          <w:szCs w:val="24"/>
        </w:rPr>
        <w:t xml:space="preserve"> požádat MZ o prodloužení lhůty pro předkládání podkladů k vyúčtování.</w:t>
      </w:r>
    </w:p>
    <w:p w14:paraId="1EDA29F0" w14:textId="496052B2" w:rsidR="00BC5C4B" w:rsidRPr="00DD51CE" w:rsidRDefault="00BC5C4B" w:rsidP="007D39D1">
      <w:pPr>
        <w:spacing w:before="240" w:after="120" w:line="240" w:lineRule="auto"/>
        <w:ind w:left="426"/>
        <w:jc w:val="both"/>
        <w:rPr>
          <w:rFonts w:eastAsia="Calibri"/>
          <w:sz w:val="24"/>
          <w:szCs w:val="24"/>
        </w:rPr>
      </w:pPr>
      <w:r w:rsidRPr="00DD51CE">
        <w:rPr>
          <w:rFonts w:eastAsia="Calibri"/>
          <w:sz w:val="24"/>
          <w:szCs w:val="24"/>
        </w:rPr>
        <w:t>Výdaj se uvede do Vyúčtování tehdy, pokud byl v daném monitorovacím období i</w:t>
      </w:r>
      <w:r w:rsidR="00845DB5">
        <w:rPr>
          <w:rFonts w:eastAsia="Calibri"/>
          <w:sz w:val="24"/>
          <w:szCs w:val="24"/>
        </w:rPr>
        <w:t> </w:t>
      </w:r>
      <w:r w:rsidRPr="00DD51CE">
        <w:rPr>
          <w:rFonts w:eastAsia="Calibri"/>
          <w:sz w:val="24"/>
          <w:szCs w:val="24"/>
        </w:rPr>
        <w:t>uhrazen.</w:t>
      </w:r>
    </w:p>
    <w:p w14:paraId="13EEBD75" w14:textId="77777777" w:rsidR="004255D9" w:rsidRPr="00DD51CE" w:rsidRDefault="004255D9" w:rsidP="00DD51CE">
      <w:pPr>
        <w:widowControl/>
        <w:spacing w:after="120" w:line="240" w:lineRule="auto"/>
        <w:jc w:val="both"/>
        <w:rPr>
          <w:rFonts w:eastAsia="Calibri"/>
          <w:sz w:val="24"/>
          <w:szCs w:val="24"/>
        </w:rPr>
      </w:pPr>
    </w:p>
    <w:tbl>
      <w:tblPr>
        <w:tblStyle w:val="a7"/>
        <w:tblW w:w="8049" w:type="dxa"/>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1670"/>
        <w:gridCol w:w="2029"/>
        <w:gridCol w:w="2082"/>
        <w:gridCol w:w="2268"/>
      </w:tblGrid>
      <w:tr w:rsidR="004255D9" w:rsidRPr="00DD51CE" w14:paraId="5A7A3F90" w14:textId="77777777" w:rsidTr="00F442D2">
        <w:trPr>
          <w:trHeight w:val="280"/>
          <w:jc w:val="center"/>
        </w:trPr>
        <w:tc>
          <w:tcPr>
            <w:tcW w:w="1670"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48E6EC06" w14:textId="63E2CA24" w:rsidR="004255D9" w:rsidRPr="00F442D2" w:rsidRDefault="006733FC" w:rsidP="00845DB5">
            <w:pPr>
              <w:spacing w:after="120" w:line="240" w:lineRule="auto"/>
              <w:jc w:val="center"/>
              <w:rPr>
                <w:rFonts w:eastAsia="Calibri"/>
                <w:sz w:val="24"/>
                <w:szCs w:val="24"/>
              </w:rPr>
            </w:pPr>
            <w:r w:rsidRPr="00F442D2">
              <w:rPr>
                <w:rFonts w:eastAsia="Calibri"/>
                <w:sz w:val="24"/>
                <w:szCs w:val="24"/>
              </w:rPr>
              <w:t xml:space="preserve">Pořadí </w:t>
            </w:r>
            <w:r w:rsidR="00F77106" w:rsidRPr="00F442D2">
              <w:rPr>
                <w:rFonts w:eastAsia="Calibri"/>
                <w:sz w:val="24"/>
                <w:szCs w:val="24"/>
              </w:rPr>
              <w:t>podkladů pro vyúčtování</w:t>
            </w:r>
          </w:p>
        </w:tc>
        <w:tc>
          <w:tcPr>
            <w:tcW w:w="4111"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5DF976B3" w14:textId="77777777" w:rsidR="004255D9" w:rsidRPr="00F442D2" w:rsidRDefault="006733FC" w:rsidP="00845DB5">
            <w:pPr>
              <w:spacing w:after="120" w:line="240" w:lineRule="auto"/>
              <w:jc w:val="center"/>
              <w:rPr>
                <w:rFonts w:eastAsia="Calibri"/>
                <w:sz w:val="24"/>
                <w:szCs w:val="24"/>
              </w:rPr>
            </w:pPr>
            <w:r w:rsidRPr="00F442D2">
              <w:rPr>
                <w:rFonts w:eastAsia="Calibri"/>
                <w:sz w:val="24"/>
                <w:szCs w:val="24"/>
              </w:rPr>
              <w:t>Monitorovací období</w:t>
            </w:r>
          </w:p>
        </w:tc>
        <w:tc>
          <w:tcPr>
            <w:tcW w:w="2268"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464B86AC" w14:textId="4C19F82C" w:rsidR="004255D9" w:rsidRPr="00F442D2" w:rsidRDefault="006733FC" w:rsidP="00CB2DD8">
            <w:pPr>
              <w:spacing w:after="120" w:line="240" w:lineRule="auto"/>
              <w:jc w:val="center"/>
              <w:rPr>
                <w:rFonts w:eastAsia="Calibri"/>
                <w:sz w:val="24"/>
                <w:szCs w:val="24"/>
              </w:rPr>
            </w:pPr>
            <w:r w:rsidRPr="00F442D2">
              <w:rPr>
                <w:rFonts w:eastAsia="Calibri"/>
                <w:sz w:val="24"/>
                <w:szCs w:val="24"/>
              </w:rPr>
              <w:t xml:space="preserve">Odevzdání </w:t>
            </w:r>
            <w:r w:rsidR="00F77106" w:rsidRPr="00F442D2">
              <w:rPr>
                <w:rFonts w:eastAsia="Calibri"/>
                <w:sz w:val="24"/>
                <w:szCs w:val="24"/>
              </w:rPr>
              <w:t>podkladů</w:t>
            </w:r>
            <w:r w:rsidRPr="00F442D2">
              <w:rPr>
                <w:rFonts w:eastAsia="Calibri"/>
                <w:sz w:val="24"/>
                <w:szCs w:val="24"/>
              </w:rPr>
              <w:t xml:space="preserve"> do</w:t>
            </w:r>
          </w:p>
        </w:tc>
      </w:tr>
      <w:tr w:rsidR="004255D9" w:rsidRPr="00DD51CE" w14:paraId="0AD3EF47" w14:textId="77777777" w:rsidTr="00F442D2">
        <w:trPr>
          <w:trHeight w:val="280"/>
          <w:jc w:val="center"/>
        </w:trPr>
        <w:tc>
          <w:tcPr>
            <w:tcW w:w="1670"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1EE5514E" w14:textId="77777777" w:rsidR="004255D9" w:rsidRPr="00F442D2" w:rsidRDefault="004255D9" w:rsidP="00845DB5">
            <w:pPr>
              <w:spacing w:after="120" w:line="240" w:lineRule="auto"/>
              <w:jc w:val="center"/>
              <w:rPr>
                <w:rFonts w:eastAsia="Calibri"/>
                <w:sz w:val="24"/>
                <w:szCs w:val="24"/>
              </w:rPr>
            </w:pPr>
          </w:p>
        </w:tc>
        <w:tc>
          <w:tcPr>
            <w:tcW w:w="2029" w:type="dxa"/>
            <w:tcBorders>
              <w:top w:val="single" w:sz="8" w:space="0" w:color="000001"/>
              <w:left w:val="single" w:sz="8" w:space="0" w:color="000001"/>
              <w:bottom w:val="single" w:sz="8" w:space="0" w:color="000001"/>
            </w:tcBorders>
            <w:shd w:val="clear" w:color="auto" w:fill="auto"/>
            <w:vAlign w:val="center"/>
          </w:tcPr>
          <w:p w14:paraId="5E6CD694" w14:textId="77777777" w:rsidR="004255D9" w:rsidRPr="00F442D2" w:rsidRDefault="006733FC" w:rsidP="00845DB5">
            <w:pPr>
              <w:spacing w:after="120" w:line="240" w:lineRule="auto"/>
              <w:jc w:val="center"/>
              <w:rPr>
                <w:rFonts w:eastAsia="Calibri"/>
                <w:sz w:val="24"/>
                <w:szCs w:val="24"/>
              </w:rPr>
            </w:pPr>
            <w:r w:rsidRPr="00F442D2">
              <w:rPr>
                <w:rFonts w:eastAsia="Calibri"/>
                <w:sz w:val="24"/>
                <w:szCs w:val="24"/>
              </w:rPr>
              <w:t>od</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70E348" w14:textId="77777777" w:rsidR="004255D9" w:rsidRPr="00F442D2" w:rsidRDefault="006733FC" w:rsidP="00845DB5">
            <w:pPr>
              <w:spacing w:after="120" w:line="240" w:lineRule="auto"/>
              <w:jc w:val="center"/>
              <w:rPr>
                <w:rFonts w:eastAsia="Calibri"/>
                <w:sz w:val="24"/>
                <w:szCs w:val="24"/>
              </w:rPr>
            </w:pPr>
            <w:r w:rsidRPr="00F442D2">
              <w:rPr>
                <w:rFonts w:eastAsia="Calibri"/>
                <w:sz w:val="24"/>
                <w:szCs w:val="24"/>
              </w:rPr>
              <w:t>do</w:t>
            </w:r>
          </w:p>
        </w:tc>
        <w:tc>
          <w:tcPr>
            <w:tcW w:w="2268"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55CBE9C4" w14:textId="77777777" w:rsidR="004255D9" w:rsidRPr="00F442D2" w:rsidRDefault="004255D9" w:rsidP="00DD51CE">
            <w:pPr>
              <w:spacing w:after="120" w:line="240" w:lineRule="auto"/>
              <w:jc w:val="center"/>
              <w:rPr>
                <w:rFonts w:eastAsia="Calibri"/>
                <w:sz w:val="24"/>
                <w:szCs w:val="24"/>
              </w:rPr>
            </w:pPr>
          </w:p>
        </w:tc>
      </w:tr>
      <w:tr w:rsidR="004255D9" w:rsidRPr="00DD51CE" w14:paraId="26A84A0E"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949B20" w14:textId="1E76434F" w:rsidR="004255D9" w:rsidRPr="00F442D2" w:rsidRDefault="006D0317" w:rsidP="00F442D2">
            <w:pPr>
              <w:spacing w:line="240" w:lineRule="auto"/>
              <w:jc w:val="center"/>
              <w:rPr>
                <w:rFonts w:eastAsia="Calibri"/>
                <w:bCs/>
                <w:sz w:val="24"/>
                <w:szCs w:val="24"/>
              </w:rPr>
            </w:pPr>
            <w:r>
              <w:rPr>
                <w:rFonts w:eastAsia="Calibri"/>
                <w:bCs/>
                <w:sz w:val="24"/>
                <w:szCs w:val="24"/>
              </w:rPr>
              <w:t>1</w:t>
            </w:r>
            <w:r w:rsidR="006733FC" w:rsidRPr="00F442D2">
              <w:rPr>
                <w:rFonts w:eastAsia="Calibri"/>
                <w:bCs/>
                <w:sz w:val="24"/>
                <w:szCs w:val="24"/>
              </w:rPr>
              <w:t>.</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0FDCDC" w14:textId="3A00F7E1" w:rsidR="004255D9" w:rsidRPr="00F442D2" w:rsidRDefault="006733FC" w:rsidP="00F442D2">
            <w:pPr>
              <w:spacing w:line="240" w:lineRule="auto"/>
              <w:jc w:val="center"/>
              <w:rPr>
                <w:rFonts w:eastAsia="Calibri"/>
                <w:sz w:val="24"/>
                <w:szCs w:val="24"/>
              </w:rPr>
            </w:pPr>
            <w:r w:rsidRPr="00F442D2">
              <w:rPr>
                <w:rFonts w:eastAsia="Calibri"/>
                <w:sz w:val="24"/>
                <w:szCs w:val="24"/>
              </w:rPr>
              <w:t xml:space="preserve">1. </w:t>
            </w:r>
            <w:r w:rsidR="006D0317">
              <w:rPr>
                <w:rFonts w:eastAsia="Calibri"/>
                <w:sz w:val="24"/>
                <w:szCs w:val="24"/>
              </w:rPr>
              <w:t>1</w:t>
            </w:r>
            <w:r w:rsidRPr="00F442D2">
              <w:rPr>
                <w:rFonts w:eastAsia="Calibri"/>
                <w:sz w:val="24"/>
                <w:szCs w:val="24"/>
              </w:rPr>
              <w:t>. 2020</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98D3A4"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31. 12. 2020</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EFC0DBF" w14:textId="21105545" w:rsidR="004255D9" w:rsidRPr="00F442D2" w:rsidRDefault="006733FC" w:rsidP="00F442D2">
            <w:pPr>
              <w:spacing w:line="240" w:lineRule="auto"/>
              <w:jc w:val="center"/>
              <w:rPr>
                <w:rFonts w:eastAsia="Calibri"/>
                <w:sz w:val="24"/>
                <w:szCs w:val="24"/>
              </w:rPr>
            </w:pPr>
            <w:r w:rsidRPr="00F442D2">
              <w:rPr>
                <w:rFonts w:eastAsia="Calibri"/>
                <w:sz w:val="24"/>
                <w:szCs w:val="24"/>
              </w:rPr>
              <w:t>3</w:t>
            </w:r>
            <w:r w:rsidR="00BC5C4B" w:rsidRPr="00F442D2">
              <w:rPr>
                <w:rFonts w:eastAsia="Calibri"/>
                <w:sz w:val="24"/>
                <w:szCs w:val="24"/>
              </w:rPr>
              <w:t>1</w:t>
            </w:r>
            <w:r w:rsidRPr="00F442D2">
              <w:rPr>
                <w:rFonts w:eastAsia="Calibri"/>
                <w:sz w:val="24"/>
                <w:szCs w:val="24"/>
              </w:rPr>
              <w:t>.</w:t>
            </w:r>
            <w:r w:rsidR="00845DB5" w:rsidRPr="00F442D2">
              <w:rPr>
                <w:rFonts w:eastAsia="Calibri"/>
                <w:sz w:val="24"/>
                <w:szCs w:val="24"/>
              </w:rPr>
              <w:t xml:space="preserve"> </w:t>
            </w:r>
            <w:r w:rsidRPr="00F442D2">
              <w:rPr>
                <w:rFonts w:eastAsia="Calibri"/>
                <w:sz w:val="24"/>
                <w:szCs w:val="24"/>
              </w:rPr>
              <w:t>1.</w:t>
            </w:r>
            <w:r w:rsidR="00845DB5" w:rsidRPr="00F442D2">
              <w:rPr>
                <w:rFonts w:eastAsia="Calibri"/>
                <w:sz w:val="24"/>
                <w:szCs w:val="24"/>
              </w:rPr>
              <w:t xml:space="preserve"> </w:t>
            </w:r>
            <w:r w:rsidRPr="00F442D2">
              <w:rPr>
                <w:rFonts w:eastAsia="Calibri"/>
                <w:sz w:val="24"/>
                <w:szCs w:val="24"/>
              </w:rPr>
              <w:t>2021</w:t>
            </w:r>
          </w:p>
        </w:tc>
      </w:tr>
      <w:tr w:rsidR="004255D9" w:rsidRPr="00DD51CE" w14:paraId="7F0BE02F"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2DC3B2" w14:textId="523245D5" w:rsidR="004255D9" w:rsidRPr="00F442D2" w:rsidRDefault="006D0317" w:rsidP="00F442D2">
            <w:pPr>
              <w:spacing w:line="240" w:lineRule="auto"/>
              <w:jc w:val="center"/>
              <w:rPr>
                <w:rFonts w:eastAsia="Calibri"/>
                <w:bCs/>
                <w:sz w:val="24"/>
                <w:szCs w:val="24"/>
              </w:rPr>
            </w:pPr>
            <w:r>
              <w:rPr>
                <w:rFonts w:eastAsia="Calibri"/>
                <w:bCs/>
                <w:sz w:val="24"/>
                <w:szCs w:val="24"/>
              </w:rPr>
              <w:t>2</w:t>
            </w:r>
            <w:r w:rsidR="006733FC" w:rsidRPr="00F442D2">
              <w:rPr>
                <w:rFonts w:eastAsia="Calibri"/>
                <w:bCs/>
                <w:sz w:val="24"/>
                <w:szCs w:val="24"/>
              </w:rPr>
              <w:t>.</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3B93783"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1. 1. 2021</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393911B"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30. 6. 2021</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F327DAA" w14:textId="5569630A" w:rsidR="004255D9" w:rsidRPr="00F442D2" w:rsidRDefault="006733FC" w:rsidP="00F442D2">
            <w:pPr>
              <w:spacing w:line="240" w:lineRule="auto"/>
              <w:jc w:val="center"/>
              <w:rPr>
                <w:rFonts w:eastAsia="Calibri"/>
                <w:sz w:val="24"/>
                <w:szCs w:val="24"/>
              </w:rPr>
            </w:pPr>
            <w:r w:rsidRPr="00F442D2">
              <w:rPr>
                <w:rFonts w:eastAsia="Calibri"/>
                <w:sz w:val="24"/>
                <w:szCs w:val="24"/>
              </w:rPr>
              <w:t>31.</w:t>
            </w:r>
            <w:r w:rsidR="00845DB5" w:rsidRPr="00F442D2">
              <w:rPr>
                <w:rFonts w:eastAsia="Calibri"/>
                <w:sz w:val="24"/>
                <w:szCs w:val="24"/>
              </w:rPr>
              <w:t xml:space="preserve"> </w:t>
            </w:r>
            <w:r w:rsidRPr="00F442D2">
              <w:rPr>
                <w:rFonts w:eastAsia="Calibri"/>
                <w:sz w:val="24"/>
                <w:szCs w:val="24"/>
              </w:rPr>
              <w:t>7.</w:t>
            </w:r>
            <w:r w:rsidR="00845DB5" w:rsidRPr="00F442D2">
              <w:rPr>
                <w:rFonts w:eastAsia="Calibri"/>
                <w:sz w:val="24"/>
                <w:szCs w:val="24"/>
              </w:rPr>
              <w:t xml:space="preserve"> </w:t>
            </w:r>
            <w:r w:rsidRPr="00F442D2">
              <w:rPr>
                <w:rFonts w:eastAsia="Calibri"/>
                <w:sz w:val="24"/>
                <w:szCs w:val="24"/>
              </w:rPr>
              <w:t>2021</w:t>
            </w:r>
          </w:p>
        </w:tc>
      </w:tr>
      <w:tr w:rsidR="004255D9" w:rsidRPr="00DD51CE" w14:paraId="09040E27"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A46DFA" w14:textId="6DADE713" w:rsidR="004255D9" w:rsidRPr="00F442D2" w:rsidRDefault="006D0317" w:rsidP="00F442D2">
            <w:pPr>
              <w:spacing w:line="240" w:lineRule="auto"/>
              <w:jc w:val="center"/>
              <w:rPr>
                <w:rFonts w:eastAsia="Calibri"/>
                <w:bCs/>
                <w:sz w:val="24"/>
                <w:szCs w:val="24"/>
              </w:rPr>
            </w:pPr>
            <w:r>
              <w:rPr>
                <w:rFonts w:eastAsia="Calibri"/>
                <w:bCs/>
                <w:sz w:val="24"/>
                <w:szCs w:val="24"/>
              </w:rPr>
              <w:t>3</w:t>
            </w:r>
            <w:r w:rsidR="006733FC" w:rsidRPr="00F442D2">
              <w:rPr>
                <w:rFonts w:eastAsia="Calibri"/>
                <w:bCs/>
                <w:sz w:val="24"/>
                <w:szCs w:val="24"/>
              </w:rPr>
              <w:t>.</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1BCFE3" w14:textId="291910FB" w:rsidR="004255D9" w:rsidRPr="00F442D2" w:rsidRDefault="006733FC" w:rsidP="00F442D2">
            <w:pPr>
              <w:spacing w:line="240" w:lineRule="auto"/>
              <w:jc w:val="center"/>
              <w:rPr>
                <w:rFonts w:eastAsia="Calibri"/>
                <w:sz w:val="24"/>
                <w:szCs w:val="24"/>
              </w:rPr>
            </w:pPr>
            <w:r w:rsidRPr="00F442D2">
              <w:rPr>
                <w:rFonts w:eastAsia="Calibri"/>
                <w:sz w:val="24"/>
                <w:szCs w:val="24"/>
              </w:rPr>
              <w:t>1</w:t>
            </w:r>
            <w:r w:rsidR="0098107C" w:rsidRPr="00F442D2">
              <w:rPr>
                <w:rFonts w:eastAsia="Calibri"/>
                <w:sz w:val="24"/>
                <w:szCs w:val="24"/>
              </w:rPr>
              <w:t>.</w:t>
            </w:r>
            <w:r w:rsidR="005A65BA" w:rsidRPr="00F442D2">
              <w:rPr>
                <w:rFonts w:eastAsia="Calibri"/>
                <w:sz w:val="24"/>
                <w:szCs w:val="24"/>
              </w:rPr>
              <w:t xml:space="preserve"> </w:t>
            </w:r>
            <w:r w:rsidRPr="00F442D2">
              <w:rPr>
                <w:rFonts w:eastAsia="Calibri"/>
                <w:sz w:val="24"/>
                <w:szCs w:val="24"/>
              </w:rPr>
              <w:t>7. 2021</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02F68F" w14:textId="4822D19B" w:rsidR="004255D9" w:rsidRPr="00F442D2" w:rsidRDefault="006733FC" w:rsidP="00F442D2">
            <w:pPr>
              <w:spacing w:line="240" w:lineRule="auto"/>
              <w:jc w:val="center"/>
              <w:rPr>
                <w:rFonts w:eastAsia="Calibri"/>
                <w:sz w:val="24"/>
                <w:szCs w:val="24"/>
              </w:rPr>
            </w:pPr>
            <w:r w:rsidRPr="00F442D2">
              <w:rPr>
                <w:rFonts w:eastAsia="Calibri"/>
                <w:sz w:val="24"/>
                <w:szCs w:val="24"/>
              </w:rPr>
              <w:t>31. 12. 2</w:t>
            </w:r>
            <w:r w:rsidR="00F77106" w:rsidRPr="00F442D2">
              <w:rPr>
                <w:rFonts w:eastAsia="Calibri"/>
                <w:sz w:val="24"/>
                <w:szCs w:val="24"/>
              </w:rPr>
              <w:t>02</w:t>
            </w:r>
            <w:r w:rsidRPr="00F442D2">
              <w:rPr>
                <w:rFonts w:eastAsia="Calibri"/>
                <w:sz w:val="24"/>
                <w:szCs w:val="24"/>
              </w:rPr>
              <w:t>1</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AB97D2E" w14:textId="4E57E17C" w:rsidR="004255D9" w:rsidRPr="00F442D2" w:rsidRDefault="006733FC" w:rsidP="00F442D2">
            <w:pPr>
              <w:spacing w:line="240" w:lineRule="auto"/>
              <w:jc w:val="center"/>
              <w:rPr>
                <w:rFonts w:eastAsia="Calibri"/>
                <w:sz w:val="24"/>
                <w:szCs w:val="24"/>
              </w:rPr>
            </w:pPr>
            <w:r w:rsidRPr="00F442D2">
              <w:rPr>
                <w:rFonts w:eastAsia="Calibri"/>
                <w:sz w:val="24"/>
                <w:szCs w:val="24"/>
              </w:rPr>
              <w:t>3</w:t>
            </w:r>
            <w:r w:rsidR="00BC5C4B" w:rsidRPr="00F442D2">
              <w:rPr>
                <w:rFonts w:eastAsia="Calibri"/>
                <w:sz w:val="24"/>
                <w:szCs w:val="24"/>
              </w:rPr>
              <w:t>1</w:t>
            </w:r>
            <w:r w:rsidRPr="00F442D2">
              <w:rPr>
                <w:rFonts w:eastAsia="Calibri"/>
                <w:sz w:val="24"/>
                <w:szCs w:val="24"/>
              </w:rPr>
              <w:t>.</w:t>
            </w:r>
            <w:r w:rsidR="00845DB5" w:rsidRPr="00F442D2">
              <w:rPr>
                <w:rFonts w:eastAsia="Calibri"/>
                <w:sz w:val="24"/>
                <w:szCs w:val="24"/>
              </w:rPr>
              <w:t xml:space="preserve"> </w:t>
            </w:r>
            <w:r w:rsidRPr="00F442D2">
              <w:rPr>
                <w:rFonts w:eastAsia="Calibri"/>
                <w:sz w:val="24"/>
                <w:szCs w:val="24"/>
              </w:rPr>
              <w:t>1.</w:t>
            </w:r>
            <w:r w:rsidR="00845DB5" w:rsidRPr="00F442D2">
              <w:rPr>
                <w:rFonts w:eastAsia="Calibri"/>
                <w:sz w:val="24"/>
                <w:szCs w:val="24"/>
              </w:rPr>
              <w:t xml:space="preserve"> </w:t>
            </w:r>
            <w:r w:rsidRPr="00F442D2">
              <w:rPr>
                <w:rFonts w:eastAsia="Calibri"/>
                <w:sz w:val="24"/>
                <w:szCs w:val="24"/>
              </w:rPr>
              <w:t>2022</w:t>
            </w:r>
          </w:p>
        </w:tc>
      </w:tr>
      <w:tr w:rsidR="004255D9" w:rsidRPr="00DD51CE" w14:paraId="6F385909"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B9FA9BC" w14:textId="4386B6EB" w:rsidR="004255D9" w:rsidRPr="00F442D2" w:rsidRDefault="006D0317" w:rsidP="00F442D2">
            <w:pPr>
              <w:spacing w:line="240" w:lineRule="auto"/>
              <w:jc w:val="center"/>
              <w:rPr>
                <w:rFonts w:eastAsia="Calibri"/>
                <w:bCs/>
                <w:sz w:val="24"/>
                <w:szCs w:val="24"/>
              </w:rPr>
            </w:pPr>
            <w:r>
              <w:rPr>
                <w:rFonts w:eastAsia="Calibri"/>
                <w:bCs/>
                <w:sz w:val="24"/>
                <w:szCs w:val="24"/>
              </w:rPr>
              <w:t>4</w:t>
            </w:r>
            <w:r w:rsidR="006733FC" w:rsidRPr="00F442D2">
              <w:rPr>
                <w:rFonts w:eastAsia="Calibri"/>
                <w:bCs/>
                <w:sz w:val="24"/>
                <w:szCs w:val="24"/>
              </w:rPr>
              <w:t>.</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3F7AA6"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1. 1. 2022</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50F4C5"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30. 6. 2022</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CAE176" w14:textId="66A80B7E" w:rsidR="004255D9" w:rsidRPr="00F442D2" w:rsidRDefault="006733FC" w:rsidP="00F442D2">
            <w:pPr>
              <w:spacing w:line="240" w:lineRule="auto"/>
              <w:jc w:val="center"/>
              <w:rPr>
                <w:rFonts w:eastAsia="Calibri"/>
                <w:sz w:val="24"/>
                <w:szCs w:val="24"/>
              </w:rPr>
            </w:pPr>
            <w:r w:rsidRPr="00F442D2">
              <w:rPr>
                <w:rFonts w:eastAsia="Calibri"/>
                <w:sz w:val="24"/>
                <w:szCs w:val="24"/>
              </w:rPr>
              <w:t>31.</w:t>
            </w:r>
            <w:r w:rsidR="00845DB5" w:rsidRPr="00F442D2">
              <w:rPr>
                <w:rFonts w:eastAsia="Calibri"/>
                <w:sz w:val="24"/>
                <w:szCs w:val="24"/>
              </w:rPr>
              <w:t xml:space="preserve"> </w:t>
            </w:r>
            <w:r w:rsidRPr="00F442D2">
              <w:rPr>
                <w:rFonts w:eastAsia="Calibri"/>
                <w:sz w:val="24"/>
                <w:szCs w:val="24"/>
              </w:rPr>
              <w:t>7.</w:t>
            </w:r>
            <w:r w:rsidR="00845DB5" w:rsidRPr="00F442D2">
              <w:rPr>
                <w:rFonts w:eastAsia="Calibri"/>
                <w:sz w:val="24"/>
                <w:szCs w:val="24"/>
              </w:rPr>
              <w:t xml:space="preserve"> </w:t>
            </w:r>
            <w:r w:rsidRPr="00F442D2">
              <w:rPr>
                <w:rFonts w:eastAsia="Calibri"/>
                <w:sz w:val="24"/>
                <w:szCs w:val="24"/>
              </w:rPr>
              <w:t>2022</w:t>
            </w:r>
          </w:p>
        </w:tc>
      </w:tr>
      <w:tr w:rsidR="004255D9" w:rsidRPr="00DD51CE" w14:paraId="74BAD76E"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FBCA10F" w14:textId="22242852" w:rsidR="004255D9" w:rsidRPr="00F442D2" w:rsidRDefault="006D0317" w:rsidP="00F442D2">
            <w:pPr>
              <w:pBdr>
                <w:top w:val="nil"/>
                <w:left w:val="nil"/>
                <w:bottom w:val="nil"/>
                <w:right w:val="nil"/>
                <w:between w:val="nil"/>
              </w:pBdr>
              <w:spacing w:line="240" w:lineRule="auto"/>
              <w:jc w:val="center"/>
              <w:rPr>
                <w:rFonts w:eastAsia="Calibri"/>
                <w:bCs/>
                <w:sz w:val="24"/>
                <w:szCs w:val="24"/>
              </w:rPr>
            </w:pPr>
            <w:r>
              <w:rPr>
                <w:rFonts w:eastAsia="Calibri"/>
                <w:bCs/>
                <w:sz w:val="24"/>
                <w:szCs w:val="24"/>
              </w:rPr>
              <w:t>5</w:t>
            </w:r>
            <w:r w:rsidR="006733FC" w:rsidRPr="00F442D2">
              <w:rPr>
                <w:rFonts w:eastAsia="Calibri"/>
                <w:bCs/>
                <w:sz w:val="24"/>
                <w:szCs w:val="24"/>
              </w:rPr>
              <w:t>.</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27BA0C7" w14:textId="3B98ECE9" w:rsidR="004255D9" w:rsidRPr="00F442D2" w:rsidRDefault="006733FC" w:rsidP="00F442D2">
            <w:pPr>
              <w:pBdr>
                <w:top w:val="nil"/>
                <w:left w:val="nil"/>
                <w:bottom w:val="nil"/>
                <w:right w:val="nil"/>
                <w:between w:val="nil"/>
              </w:pBdr>
              <w:spacing w:line="240" w:lineRule="auto"/>
              <w:jc w:val="center"/>
              <w:rPr>
                <w:rFonts w:eastAsia="Calibri"/>
                <w:sz w:val="24"/>
                <w:szCs w:val="24"/>
              </w:rPr>
            </w:pPr>
            <w:r w:rsidRPr="00F442D2">
              <w:rPr>
                <w:rFonts w:eastAsia="Calibri"/>
                <w:sz w:val="24"/>
                <w:szCs w:val="24"/>
              </w:rPr>
              <w:t>1.</w:t>
            </w:r>
            <w:r w:rsidR="00845DB5" w:rsidRPr="00F442D2">
              <w:rPr>
                <w:rFonts w:eastAsia="Calibri"/>
                <w:sz w:val="24"/>
                <w:szCs w:val="24"/>
              </w:rPr>
              <w:t xml:space="preserve"> </w:t>
            </w:r>
            <w:r w:rsidRPr="00F442D2">
              <w:rPr>
                <w:rFonts w:eastAsia="Calibri"/>
                <w:sz w:val="24"/>
                <w:szCs w:val="24"/>
              </w:rPr>
              <w:t>7. 2020</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BD3D473" w14:textId="77777777" w:rsidR="004255D9" w:rsidRPr="00F442D2" w:rsidRDefault="006733FC" w:rsidP="00F442D2">
            <w:pPr>
              <w:pBdr>
                <w:top w:val="nil"/>
                <w:left w:val="nil"/>
                <w:bottom w:val="nil"/>
                <w:right w:val="nil"/>
                <w:between w:val="nil"/>
              </w:pBdr>
              <w:spacing w:line="240" w:lineRule="auto"/>
              <w:jc w:val="center"/>
              <w:rPr>
                <w:rFonts w:eastAsia="Calibri"/>
                <w:sz w:val="24"/>
                <w:szCs w:val="24"/>
              </w:rPr>
            </w:pPr>
            <w:r w:rsidRPr="00F442D2">
              <w:rPr>
                <w:rFonts w:eastAsia="Calibri"/>
                <w:sz w:val="24"/>
                <w:szCs w:val="24"/>
              </w:rPr>
              <w:t>31. 8. 2022</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8A17AB" w14:textId="0CC75054" w:rsidR="004255D9" w:rsidRPr="00F442D2" w:rsidRDefault="006733FC" w:rsidP="00F442D2">
            <w:pPr>
              <w:pBdr>
                <w:top w:val="nil"/>
                <w:left w:val="nil"/>
                <w:bottom w:val="nil"/>
                <w:right w:val="nil"/>
                <w:between w:val="nil"/>
              </w:pBdr>
              <w:spacing w:line="240" w:lineRule="auto"/>
              <w:jc w:val="center"/>
              <w:rPr>
                <w:rFonts w:eastAsia="Calibri"/>
                <w:sz w:val="24"/>
                <w:szCs w:val="24"/>
              </w:rPr>
            </w:pPr>
            <w:r w:rsidRPr="00F442D2">
              <w:rPr>
                <w:rFonts w:eastAsia="Calibri"/>
                <w:sz w:val="24"/>
                <w:szCs w:val="24"/>
              </w:rPr>
              <w:t>30.</w:t>
            </w:r>
            <w:r w:rsidR="00845DB5" w:rsidRPr="00F442D2">
              <w:rPr>
                <w:rFonts w:eastAsia="Calibri"/>
                <w:sz w:val="24"/>
                <w:szCs w:val="24"/>
              </w:rPr>
              <w:t xml:space="preserve"> </w:t>
            </w:r>
            <w:r w:rsidRPr="00F442D2">
              <w:rPr>
                <w:rFonts w:eastAsia="Calibri"/>
                <w:sz w:val="24"/>
                <w:szCs w:val="24"/>
              </w:rPr>
              <w:t>9.</w:t>
            </w:r>
            <w:r w:rsidR="00845DB5" w:rsidRPr="00F442D2">
              <w:rPr>
                <w:rFonts w:eastAsia="Calibri"/>
                <w:sz w:val="24"/>
                <w:szCs w:val="24"/>
              </w:rPr>
              <w:t xml:space="preserve"> </w:t>
            </w:r>
            <w:r w:rsidRPr="00F442D2">
              <w:rPr>
                <w:rFonts w:eastAsia="Calibri"/>
                <w:sz w:val="24"/>
                <w:szCs w:val="24"/>
              </w:rPr>
              <w:t>2022</w:t>
            </w:r>
          </w:p>
        </w:tc>
      </w:tr>
      <w:bookmarkEnd w:id="32"/>
    </w:tbl>
    <w:p w14:paraId="310C9BE2" w14:textId="77777777" w:rsidR="00845DB5" w:rsidRDefault="00845DB5" w:rsidP="00845DB5">
      <w:pPr>
        <w:widowControl/>
        <w:pBdr>
          <w:top w:val="nil"/>
          <w:left w:val="nil"/>
          <w:bottom w:val="nil"/>
          <w:right w:val="nil"/>
          <w:between w:val="nil"/>
        </w:pBdr>
        <w:spacing w:after="120" w:line="240" w:lineRule="auto"/>
        <w:ind w:left="414"/>
        <w:jc w:val="both"/>
        <w:rPr>
          <w:rFonts w:eastAsia="Cambria"/>
          <w:sz w:val="24"/>
          <w:szCs w:val="24"/>
        </w:rPr>
      </w:pPr>
    </w:p>
    <w:p w14:paraId="0FCECAF8" w14:textId="1DA276DC" w:rsidR="004255D9" w:rsidRPr="00DD51CE" w:rsidRDefault="006733FC" w:rsidP="00DE45DF">
      <w:pPr>
        <w:widowControl/>
        <w:numPr>
          <w:ilvl w:val="0"/>
          <w:numId w:val="31"/>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lastRenderedPageBreak/>
        <w:t xml:space="preserve">MZ provede kontrolu předložené dokumentace za monitorovací období zpravidla do </w:t>
      </w:r>
      <w:r w:rsidRPr="007D39D1">
        <w:rPr>
          <w:sz w:val="24"/>
          <w:szCs w:val="24"/>
        </w:rPr>
        <w:t>30</w:t>
      </w:r>
      <w:r w:rsidRPr="00DD51CE">
        <w:rPr>
          <w:rFonts w:eastAsia="Cambria"/>
          <w:sz w:val="24"/>
          <w:szCs w:val="24"/>
        </w:rPr>
        <w:t xml:space="preserve"> pracovních dnů od jejich předložení. V případě, že shledá, že dodané podklady nejsou úplné a bezchybné, bude Příjemce vyzván (zpravidla e</w:t>
      </w:r>
      <w:r w:rsidR="00054919">
        <w:rPr>
          <w:rFonts w:eastAsia="Cambria"/>
          <w:sz w:val="24"/>
          <w:szCs w:val="24"/>
        </w:rPr>
        <w:t>-</w:t>
      </w:r>
      <w:r w:rsidRPr="00DD51CE">
        <w:rPr>
          <w:rFonts w:eastAsia="Cambria"/>
          <w:sz w:val="24"/>
          <w:szCs w:val="24"/>
        </w:rPr>
        <w:t>mailem) k</w:t>
      </w:r>
      <w:r w:rsidR="00402FBE">
        <w:rPr>
          <w:rFonts w:eastAsia="Cambria"/>
          <w:sz w:val="24"/>
          <w:szCs w:val="24"/>
        </w:rPr>
        <w:t> </w:t>
      </w:r>
      <w:r w:rsidRPr="00DD51CE">
        <w:rPr>
          <w:rFonts w:eastAsia="Cambria"/>
          <w:sz w:val="24"/>
          <w:szCs w:val="24"/>
        </w:rPr>
        <w:t xml:space="preserve">doplnění/opravě údajů ve stanoveném termínu. </w:t>
      </w:r>
    </w:p>
    <w:p w14:paraId="0B4D529B" w14:textId="77777777" w:rsidR="004255D9" w:rsidRPr="00DD51CE" w:rsidRDefault="006733FC" w:rsidP="00DE45DF">
      <w:pPr>
        <w:widowControl/>
        <w:numPr>
          <w:ilvl w:val="0"/>
          <w:numId w:val="31"/>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Při </w:t>
      </w:r>
      <w:r w:rsidRPr="007D39D1">
        <w:rPr>
          <w:sz w:val="24"/>
          <w:szCs w:val="24"/>
        </w:rPr>
        <w:t>kontrole</w:t>
      </w:r>
      <w:r w:rsidRPr="00DD51CE">
        <w:rPr>
          <w:rFonts w:eastAsia="Cambria"/>
          <w:sz w:val="24"/>
          <w:szCs w:val="24"/>
        </w:rPr>
        <w:t xml:space="preserve"> dokumentace si může MZ vyžádat další podklady – zejména kopie účetních dokladů k danému účetnímu případu.</w:t>
      </w:r>
    </w:p>
    <w:p w14:paraId="6F3550BC" w14:textId="77777777" w:rsidR="004255D9" w:rsidRPr="00DD51CE" w:rsidRDefault="004255D9" w:rsidP="00DD51CE">
      <w:pPr>
        <w:spacing w:after="120" w:line="240" w:lineRule="auto"/>
        <w:rPr>
          <w:sz w:val="24"/>
          <w:szCs w:val="24"/>
        </w:rPr>
      </w:pPr>
    </w:p>
    <w:p w14:paraId="6B671CF4" w14:textId="517409C8" w:rsidR="004255D9" w:rsidRPr="00B930FE" w:rsidRDefault="00C97833" w:rsidP="00BB174D">
      <w:pPr>
        <w:pStyle w:val="Nadpis2"/>
      </w:pPr>
      <w:bookmarkStart w:id="33" w:name="_Toc32407806"/>
      <w:r w:rsidRPr="00B930FE">
        <w:t>3.</w:t>
      </w:r>
      <w:r w:rsidR="00BB174D">
        <w:t>2</w:t>
      </w:r>
      <w:r w:rsidRPr="00B930FE">
        <w:t xml:space="preserve"> </w:t>
      </w:r>
      <w:r w:rsidR="00BB174D" w:rsidRPr="00B930FE">
        <w:t>OBECNÉ POKYNY K VYÚČTOVÁNÍ</w:t>
      </w:r>
      <w:bookmarkEnd w:id="33"/>
    </w:p>
    <w:p w14:paraId="6DCEA2C4" w14:textId="61695403"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7D39D1">
        <w:rPr>
          <w:sz w:val="24"/>
          <w:szCs w:val="24"/>
        </w:rPr>
        <w:t>Podklady</w:t>
      </w:r>
      <w:r w:rsidRPr="00DD51CE">
        <w:rPr>
          <w:rFonts w:eastAsia="Cambria"/>
          <w:sz w:val="24"/>
          <w:szCs w:val="24"/>
        </w:rPr>
        <w:t xml:space="preserve"> za monitorovací období jsou MZ předkládány ke kontrole v listinné a</w:t>
      </w:r>
      <w:r w:rsidR="00B8448E">
        <w:rPr>
          <w:rFonts w:eastAsia="Cambria"/>
          <w:sz w:val="24"/>
          <w:szCs w:val="24"/>
        </w:rPr>
        <w:t>/nebo</w:t>
      </w:r>
      <w:r w:rsidR="00BC5C4B" w:rsidRPr="00DD51CE">
        <w:rPr>
          <w:rFonts w:eastAsia="Cambria"/>
          <w:sz w:val="24"/>
          <w:szCs w:val="24"/>
        </w:rPr>
        <w:t xml:space="preserve"> </w:t>
      </w:r>
      <w:r w:rsidRPr="00DD51CE">
        <w:rPr>
          <w:rFonts w:eastAsia="Cambria"/>
          <w:sz w:val="24"/>
          <w:szCs w:val="24"/>
        </w:rPr>
        <w:t xml:space="preserve">elektronické podobě: </w:t>
      </w:r>
    </w:p>
    <w:p w14:paraId="2B472939" w14:textId="6C297E85" w:rsidR="004255D9" w:rsidRPr="00DD51CE" w:rsidRDefault="005E3463" w:rsidP="00DE45DF">
      <w:pPr>
        <w:numPr>
          <w:ilvl w:val="1"/>
          <w:numId w:val="33"/>
        </w:numPr>
        <w:pBdr>
          <w:top w:val="nil"/>
          <w:left w:val="nil"/>
          <w:bottom w:val="nil"/>
          <w:right w:val="nil"/>
          <w:between w:val="nil"/>
        </w:pBdr>
        <w:spacing w:after="120" w:line="240" w:lineRule="auto"/>
        <w:ind w:left="851"/>
        <w:jc w:val="both"/>
        <w:rPr>
          <w:rFonts w:eastAsia="Cambria"/>
          <w:sz w:val="24"/>
          <w:szCs w:val="24"/>
        </w:rPr>
      </w:pPr>
      <w:r>
        <w:rPr>
          <w:rFonts w:eastAsia="Cambria"/>
          <w:sz w:val="24"/>
          <w:szCs w:val="24"/>
        </w:rPr>
        <w:t>V</w:t>
      </w:r>
      <w:r w:rsidR="006733FC" w:rsidRPr="00DD51CE">
        <w:rPr>
          <w:rFonts w:eastAsia="Cambria"/>
          <w:sz w:val="24"/>
          <w:szCs w:val="24"/>
        </w:rPr>
        <w:t xml:space="preserve"> listinné podobě: doručení na adresu MZ uvedenou v Rozhodnutí (na obálku je třeba uvést Odbor evropských fondů a investičního rozvoje a název </w:t>
      </w:r>
      <w:r w:rsidR="00535A03">
        <w:rPr>
          <w:rFonts w:eastAsia="Cambria"/>
          <w:sz w:val="24"/>
          <w:szCs w:val="24"/>
        </w:rPr>
        <w:t>P</w:t>
      </w:r>
      <w:r w:rsidR="00B0657C" w:rsidRPr="00DD51CE">
        <w:rPr>
          <w:rFonts w:eastAsia="Cambria"/>
          <w:sz w:val="24"/>
          <w:szCs w:val="24"/>
        </w:rPr>
        <w:t>rojekt</w:t>
      </w:r>
      <w:r w:rsidR="006733FC" w:rsidRPr="00DD51CE">
        <w:rPr>
          <w:rFonts w:eastAsia="Cambria"/>
          <w:sz w:val="24"/>
          <w:szCs w:val="24"/>
        </w:rPr>
        <w:t>u), případně datovou schránkou.</w:t>
      </w:r>
    </w:p>
    <w:p w14:paraId="64053876" w14:textId="67AF3EF6" w:rsidR="004255D9" w:rsidRPr="00DD51CE" w:rsidRDefault="005E3463" w:rsidP="00DE45DF">
      <w:pPr>
        <w:numPr>
          <w:ilvl w:val="1"/>
          <w:numId w:val="33"/>
        </w:numPr>
        <w:pBdr>
          <w:top w:val="nil"/>
          <w:left w:val="nil"/>
          <w:bottom w:val="nil"/>
          <w:right w:val="nil"/>
          <w:between w:val="nil"/>
        </w:pBdr>
        <w:spacing w:after="120" w:line="240" w:lineRule="auto"/>
        <w:ind w:left="851"/>
        <w:jc w:val="both"/>
        <w:rPr>
          <w:rFonts w:eastAsia="Cambria"/>
          <w:sz w:val="24"/>
          <w:szCs w:val="24"/>
        </w:rPr>
      </w:pPr>
      <w:r>
        <w:rPr>
          <w:rFonts w:eastAsia="Cambria"/>
          <w:sz w:val="24"/>
          <w:szCs w:val="24"/>
        </w:rPr>
        <w:t>V</w:t>
      </w:r>
      <w:r w:rsidR="006733FC" w:rsidRPr="00DD51CE">
        <w:rPr>
          <w:rFonts w:eastAsia="Cambria"/>
          <w:sz w:val="24"/>
          <w:szCs w:val="24"/>
        </w:rPr>
        <w:t xml:space="preserve"> elektronické podobě (skeny </w:t>
      </w:r>
      <w:r w:rsidR="00BC5C4B" w:rsidRPr="00DD51CE">
        <w:rPr>
          <w:rFonts w:eastAsia="Cambria"/>
          <w:sz w:val="24"/>
          <w:szCs w:val="24"/>
        </w:rPr>
        <w:t xml:space="preserve">– </w:t>
      </w:r>
      <w:proofErr w:type="spellStart"/>
      <w:r w:rsidR="006733FC" w:rsidRPr="00DD51CE">
        <w:rPr>
          <w:rFonts w:eastAsia="Cambria"/>
          <w:sz w:val="24"/>
          <w:szCs w:val="24"/>
        </w:rPr>
        <w:t>pdf</w:t>
      </w:r>
      <w:proofErr w:type="spellEnd"/>
      <w:r w:rsidR="006733FC" w:rsidRPr="00DD51CE">
        <w:rPr>
          <w:rFonts w:eastAsia="Cambria"/>
          <w:sz w:val="24"/>
          <w:szCs w:val="24"/>
        </w:rPr>
        <w:t xml:space="preserve"> či jiné, příp. editovatelné formáty) elektronickou poštou na </w:t>
      </w:r>
      <w:r w:rsidR="00E8453E">
        <w:rPr>
          <w:rFonts w:eastAsia="Cambria"/>
          <w:sz w:val="24"/>
          <w:szCs w:val="24"/>
        </w:rPr>
        <w:t>e</w:t>
      </w:r>
      <w:r w:rsidR="005A65BA">
        <w:rPr>
          <w:rFonts w:eastAsia="Cambria"/>
          <w:sz w:val="24"/>
          <w:szCs w:val="24"/>
        </w:rPr>
        <w:t>-</w:t>
      </w:r>
      <w:r w:rsidR="00E8453E">
        <w:rPr>
          <w:rFonts w:eastAsia="Cambria"/>
          <w:sz w:val="24"/>
          <w:szCs w:val="24"/>
        </w:rPr>
        <w:t xml:space="preserve">mailovou </w:t>
      </w:r>
      <w:r w:rsidR="006733FC" w:rsidRPr="00DD51CE">
        <w:rPr>
          <w:rFonts w:eastAsia="Cambria"/>
          <w:sz w:val="24"/>
          <w:szCs w:val="24"/>
        </w:rPr>
        <w:t>adr</w:t>
      </w:r>
      <w:r w:rsidR="00B12B16">
        <w:rPr>
          <w:rFonts w:eastAsia="Cambria"/>
          <w:sz w:val="24"/>
          <w:szCs w:val="24"/>
        </w:rPr>
        <w:t>esu neurologove2@mzcr.cz.</w:t>
      </w:r>
      <w:r w:rsidR="006733FC" w:rsidRPr="00DD51CE">
        <w:rPr>
          <w:rFonts w:eastAsia="Cambria"/>
          <w:sz w:val="24"/>
          <w:szCs w:val="24"/>
        </w:rPr>
        <w:t xml:space="preserve"> </w:t>
      </w:r>
    </w:p>
    <w:p w14:paraId="3753EF05" w14:textId="5ED3924D"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Veškeré výdaje, které se vztahují k jednomu kurzu nebo k měsíci praxe, je vhodné </w:t>
      </w:r>
      <w:r w:rsidRPr="007D39D1">
        <w:rPr>
          <w:sz w:val="24"/>
          <w:szCs w:val="24"/>
        </w:rPr>
        <w:t>poprvé</w:t>
      </w:r>
      <w:r w:rsidRPr="00DD51CE">
        <w:rPr>
          <w:rFonts w:eastAsia="Cambria"/>
          <w:sz w:val="24"/>
          <w:szCs w:val="24"/>
        </w:rPr>
        <w:t xml:space="preserve"> doložit v jednom monitorovacím období společně s Výkazem účasti. </w:t>
      </w:r>
      <w:r w:rsidRPr="00845DB5">
        <w:t>V</w:t>
      </w:r>
      <w:r w:rsidR="00845DB5">
        <w:t> </w:t>
      </w:r>
      <w:r w:rsidRPr="00845DB5">
        <w:t>případě</w:t>
      </w:r>
      <w:r w:rsidRPr="00DD51CE">
        <w:rPr>
          <w:rFonts w:eastAsia="Cambria"/>
          <w:sz w:val="24"/>
          <w:szCs w:val="24"/>
        </w:rPr>
        <w:t>, že z</w:t>
      </w:r>
      <w:r w:rsidR="00BC5C4B" w:rsidRPr="00DD51CE">
        <w:rPr>
          <w:rFonts w:eastAsia="Cambria"/>
          <w:sz w:val="24"/>
          <w:szCs w:val="24"/>
        </w:rPr>
        <w:t> </w:t>
      </w:r>
      <w:r w:rsidRPr="00DD51CE">
        <w:rPr>
          <w:rFonts w:eastAsia="Cambria"/>
          <w:sz w:val="24"/>
          <w:szCs w:val="24"/>
        </w:rPr>
        <w:t>nějakého důvodu nemohou být tyto výdaje doloženy zároveň, je možné, že nebudou výdaje schváleny a budou schváleny až po dodání veškerých souvisejících dokumentů. Například výdaje za ubytování zpravidla nebudou moci být schváleny dříve než výdaje za mzdové</w:t>
      </w:r>
      <w:r w:rsidR="00202D38" w:rsidRPr="00DD51CE">
        <w:rPr>
          <w:rFonts w:eastAsia="Cambria"/>
          <w:sz w:val="24"/>
          <w:szCs w:val="24"/>
        </w:rPr>
        <w:t>/platové</w:t>
      </w:r>
      <w:r w:rsidRPr="00DD51CE">
        <w:rPr>
          <w:rFonts w:eastAsia="Cambria"/>
          <w:sz w:val="24"/>
          <w:szCs w:val="24"/>
        </w:rPr>
        <w:t xml:space="preserve"> příspěvky. </w:t>
      </w:r>
    </w:p>
    <w:p w14:paraId="2A0558BA" w14:textId="372F7B80"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Zaokrouhlování, pokud není stanoveno zákonem/vyhláškou, se provádí u každé celkové částky Vyúčtování za jedno monitorovací období</w:t>
      </w:r>
      <w:r w:rsidR="00E8453E">
        <w:rPr>
          <w:rFonts w:eastAsia="Cambria"/>
          <w:sz w:val="24"/>
          <w:szCs w:val="24"/>
        </w:rPr>
        <w:t>,</w:t>
      </w:r>
      <w:r w:rsidRPr="00DD51CE">
        <w:rPr>
          <w:rFonts w:eastAsia="Cambria"/>
          <w:sz w:val="24"/>
          <w:szCs w:val="24"/>
        </w:rPr>
        <w:t xml:space="preserve"> </w:t>
      </w:r>
      <w:r w:rsidR="005A65BA">
        <w:rPr>
          <w:rFonts w:eastAsia="Cambria"/>
          <w:sz w:val="24"/>
          <w:szCs w:val="24"/>
        </w:rPr>
        <w:t xml:space="preserve">a to </w:t>
      </w:r>
      <w:r w:rsidRPr="00DD51CE">
        <w:rPr>
          <w:rFonts w:eastAsia="Cambria"/>
          <w:sz w:val="24"/>
          <w:szCs w:val="24"/>
        </w:rPr>
        <w:t>matematicky na dvě desetinná místa.</w:t>
      </w:r>
    </w:p>
    <w:p w14:paraId="2A299D1B" w14:textId="33A1A668"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Doporučujeme podklady a zejména tabulku </w:t>
      </w:r>
      <w:r w:rsidR="00BC5C4B" w:rsidRPr="00DD51CE">
        <w:rPr>
          <w:rFonts w:eastAsia="Cambria"/>
          <w:sz w:val="24"/>
          <w:szCs w:val="24"/>
        </w:rPr>
        <w:t>V</w:t>
      </w:r>
      <w:r w:rsidRPr="00DD51CE">
        <w:rPr>
          <w:rFonts w:eastAsia="Cambria"/>
          <w:sz w:val="24"/>
          <w:szCs w:val="24"/>
        </w:rPr>
        <w:t>yúčtovan</w:t>
      </w:r>
      <w:r w:rsidR="00BC5C4B" w:rsidRPr="00DD51CE">
        <w:rPr>
          <w:rFonts w:eastAsia="Cambria"/>
          <w:sz w:val="24"/>
          <w:szCs w:val="24"/>
        </w:rPr>
        <w:t>í</w:t>
      </w:r>
      <w:r w:rsidRPr="00DD51CE">
        <w:rPr>
          <w:rFonts w:eastAsia="Cambria"/>
          <w:sz w:val="24"/>
          <w:szCs w:val="24"/>
        </w:rPr>
        <w:t xml:space="preserve"> před odesláním v</w:t>
      </w:r>
      <w:r w:rsidR="00BC5C4B" w:rsidRPr="00DD51CE">
        <w:rPr>
          <w:rFonts w:eastAsia="Cambria"/>
          <w:sz w:val="24"/>
          <w:szCs w:val="24"/>
        </w:rPr>
        <w:t> </w:t>
      </w:r>
      <w:r w:rsidRPr="00DD51CE">
        <w:rPr>
          <w:rFonts w:eastAsia="Cambria"/>
          <w:sz w:val="24"/>
          <w:szCs w:val="24"/>
        </w:rPr>
        <w:t xml:space="preserve">listinné podobě na MZ konzultovat s projektovým manažerem, a to zasláním na </w:t>
      </w:r>
      <w:r w:rsidR="00E8453E">
        <w:rPr>
          <w:rFonts w:eastAsia="Cambria"/>
          <w:sz w:val="24"/>
          <w:szCs w:val="24"/>
        </w:rPr>
        <w:t>e</w:t>
      </w:r>
      <w:r w:rsidR="005A65BA">
        <w:rPr>
          <w:rFonts w:eastAsia="Cambria"/>
          <w:sz w:val="24"/>
          <w:szCs w:val="24"/>
        </w:rPr>
        <w:t>-</w:t>
      </w:r>
      <w:r w:rsidR="00E8453E">
        <w:rPr>
          <w:rFonts w:eastAsia="Cambria"/>
          <w:sz w:val="24"/>
          <w:szCs w:val="24"/>
        </w:rPr>
        <w:t xml:space="preserve">mailovou </w:t>
      </w:r>
      <w:r w:rsidRPr="00DD51CE">
        <w:rPr>
          <w:rFonts w:eastAsia="Cambria"/>
          <w:sz w:val="24"/>
          <w:szCs w:val="24"/>
        </w:rPr>
        <w:t xml:space="preserve">adresu </w:t>
      </w:r>
      <w:hyperlink r:id="rId10" w:history="1">
        <w:r w:rsidR="00B12B16" w:rsidRPr="00D86F6F">
          <w:rPr>
            <w:rStyle w:val="Hypertextovodkaz"/>
            <w:rFonts w:eastAsia="Cambria"/>
            <w:sz w:val="24"/>
            <w:szCs w:val="24"/>
          </w:rPr>
          <w:t>neurologove2@mzcr.cz</w:t>
        </w:r>
      </w:hyperlink>
      <w:r w:rsidRPr="00DD51CE">
        <w:rPr>
          <w:rFonts w:eastAsia="Cambria"/>
          <w:sz w:val="24"/>
          <w:szCs w:val="24"/>
        </w:rPr>
        <w:t>.</w:t>
      </w:r>
    </w:p>
    <w:p w14:paraId="197CDDDE" w14:textId="50BBE1CB"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Originály</w:t>
      </w:r>
      <w:r w:rsidRPr="00DD51CE">
        <w:rPr>
          <w:rFonts w:eastAsia="Cambria"/>
          <w:sz w:val="24"/>
          <w:szCs w:val="24"/>
          <w:vertAlign w:val="superscript"/>
        </w:rPr>
        <w:footnoteReference w:id="34"/>
      </w:r>
      <w:r w:rsidRPr="00DD51CE">
        <w:rPr>
          <w:rFonts w:eastAsia="Cambria"/>
          <w:sz w:val="24"/>
          <w:szCs w:val="24"/>
        </w:rPr>
        <w:t xml:space="preserve"> veškerých podkladů</w:t>
      </w:r>
      <w:r w:rsidR="005E3463">
        <w:rPr>
          <w:rFonts w:eastAsia="Cambria"/>
          <w:sz w:val="24"/>
          <w:szCs w:val="24"/>
        </w:rPr>
        <w:t xml:space="preserve">/dokladů, </w:t>
      </w:r>
      <w:r w:rsidRPr="00DD51CE">
        <w:rPr>
          <w:rFonts w:eastAsia="Cambria"/>
          <w:sz w:val="24"/>
          <w:szCs w:val="24"/>
        </w:rPr>
        <w:t>další doklad</w:t>
      </w:r>
      <w:r w:rsidR="005E3463">
        <w:rPr>
          <w:rFonts w:eastAsia="Cambria"/>
          <w:sz w:val="24"/>
          <w:szCs w:val="24"/>
        </w:rPr>
        <w:t>y</w:t>
      </w:r>
      <w:r w:rsidR="00BC5C4B" w:rsidRPr="00DD51CE">
        <w:rPr>
          <w:rFonts w:eastAsia="Cambria"/>
          <w:sz w:val="24"/>
          <w:szCs w:val="24"/>
        </w:rPr>
        <w:t xml:space="preserve"> a</w:t>
      </w:r>
      <w:r w:rsidRPr="00DD51CE">
        <w:rPr>
          <w:rFonts w:eastAsia="Cambria"/>
          <w:sz w:val="24"/>
          <w:szCs w:val="24"/>
        </w:rPr>
        <w:t xml:space="preserve"> dokument</w:t>
      </w:r>
      <w:r w:rsidR="005E3463">
        <w:rPr>
          <w:rFonts w:eastAsia="Cambria"/>
          <w:sz w:val="24"/>
          <w:szCs w:val="24"/>
        </w:rPr>
        <w:t>y</w:t>
      </w:r>
      <w:r w:rsidRPr="00DD51CE">
        <w:rPr>
          <w:rFonts w:eastAsia="Cambria"/>
          <w:sz w:val="24"/>
          <w:szCs w:val="24"/>
        </w:rPr>
        <w:t xml:space="preserve"> apod.</w:t>
      </w:r>
      <w:r w:rsidR="005A65BA">
        <w:rPr>
          <w:rFonts w:eastAsia="Cambria"/>
          <w:sz w:val="24"/>
          <w:szCs w:val="24"/>
        </w:rPr>
        <w:t>, které</w:t>
      </w:r>
      <w:r w:rsidRPr="00DD51CE">
        <w:rPr>
          <w:rFonts w:eastAsia="Cambria"/>
          <w:sz w:val="24"/>
          <w:szCs w:val="24"/>
        </w:rPr>
        <w:t xml:space="preserve"> souvisej</w:t>
      </w:r>
      <w:r w:rsidR="005A65BA">
        <w:rPr>
          <w:rFonts w:eastAsia="Cambria"/>
          <w:sz w:val="24"/>
          <w:szCs w:val="24"/>
        </w:rPr>
        <w:t>í</w:t>
      </w:r>
      <w:r w:rsidRPr="00DD51CE">
        <w:rPr>
          <w:rFonts w:eastAsia="Cambria"/>
          <w:sz w:val="24"/>
          <w:szCs w:val="24"/>
        </w:rPr>
        <w:t xml:space="preserve"> s</w:t>
      </w:r>
      <w:r w:rsidR="005A65BA">
        <w:rPr>
          <w:rFonts w:eastAsia="Cambria"/>
          <w:sz w:val="24"/>
          <w:szCs w:val="24"/>
        </w:rPr>
        <w:t> </w:t>
      </w:r>
      <w:r w:rsidR="00802192">
        <w:rPr>
          <w:rFonts w:eastAsia="Cambria"/>
          <w:sz w:val="24"/>
          <w:szCs w:val="24"/>
        </w:rPr>
        <w:t>dotací</w:t>
      </w:r>
      <w:r w:rsidR="005A65BA">
        <w:rPr>
          <w:rFonts w:eastAsia="Cambria"/>
          <w:sz w:val="24"/>
          <w:szCs w:val="24"/>
        </w:rPr>
        <w:t>,</w:t>
      </w:r>
      <w:r w:rsidRPr="00DD51CE">
        <w:rPr>
          <w:rFonts w:eastAsia="Cambria"/>
          <w:sz w:val="24"/>
          <w:szCs w:val="24"/>
        </w:rPr>
        <w:t xml:space="preserve"> mohou být předmětem kontroly na místě. </w:t>
      </w:r>
    </w:p>
    <w:p w14:paraId="665844F2" w14:textId="77777777" w:rsidR="004255D9" w:rsidRPr="00DD51CE" w:rsidRDefault="004255D9" w:rsidP="00DD51CE">
      <w:pPr>
        <w:spacing w:after="120" w:line="240" w:lineRule="auto"/>
        <w:rPr>
          <w:rFonts w:eastAsia="Times New Roman"/>
          <w:sz w:val="24"/>
          <w:szCs w:val="24"/>
        </w:rPr>
      </w:pPr>
    </w:p>
    <w:p w14:paraId="6359D3B3" w14:textId="5192CDE1" w:rsidR="004255D9" w:rsidRDefault="00C97833" w:rsidP="00BB174D">
      <w:pPr>
        <w:pStyle w:val="Nadpis2"/>
      </w:pPr>
      <w:bookmarkStart w:id="34" w:name="_Toc32407807"/>
      <w:r w:rsidRPr="00B930FE">
        <w:t xml:space="preserve">3.3 </w:t>
      </w:r>
      <w:r w:rsidR="00BB174D" w:rsidRPr="00B930FE">
        <w:t>SEZNAM PODKLADŮ K</w:t>
      </w:r>
      <w:r w:rsidR="00BB174D">
        <w:t> </w:t>
      </w:r>
      <w:r w:rsidR="00BB174D" w:rsidRPr="00B930FE">
        <w:t>VYÚČTOVÁNÍ</w:t>
      </w:r>
      <w:bookmarkEnd w:id="34"/>
    </w:p>
    <w:p w14:paraId="5D1D0DD3" w14:textId="77777777" w:rsidR="00402FBE" w:rsidRPr="00402FBE" w:rsidRDefault="00402FBE" w:rsidP="00402FBE"/>
    <w:p w14:paraId="081B676D" w14:textId="1CE2D5CE" w:rsidR="004255D9" w:rsidRPr="00402FBE" w:rsidRDefault="006733FC" w:rsidP="00402FBE">
      <w:pPr>
        <w:numPr>
          <w:ilvl w:val="0"/>
          <w:numId w:val="18"/>
        </w:numPr>
        <w:spacing w:after="120" w:line="240" w:lineRule="auto"/>
        <w:ind w:left="567" w:hanging="567"/>
        <w:rPr>
          <w:b/>
          <w:sz w:val="24"/>
          <w:szCs w:val="24"/>
        </w:rPr>
      </w:pPr>
      <w:r w:rsidRPr="00402FBE">
        <w:rPr>
          <w:b/>
          <w:sz w:val="24"/>
          <w:szCs w:val="24"/>
        </w:rPr>
        <w:t>Pověření</w:t>
      </w:r>
      <w:r w:rsidR="00F30755">
        <w:rPr>
          <w:b/>
          <w:sz w:val="24"/>
          <w:szCs w:val="24"/>
        </w:rPr>
        <w:t xml:space="preserve"> </w:t>
      </w:r>
      <w:r w:rsidRPr="00402FBE">
        <w:rPr>
          <w:b/>
          <w:sz w:val="24"/>
          <w:szCs w:val="24"/>
        </w:rPr>
        <w:t>/</w:t>
      </w:r>
      <w:r w:rsidR="00F30755">
        <w:rPr>
          <w:b/>
          <w:sz w:val="24"/>
          <w:szCs w:val="24"/>
        </w:rPr>
        <w:t xml:space="preserve"> </w:t>
      </w:r>
      <w:r w:rsidRPr="00402FBE">
        <w:rPr>
          <w:b/>
          <w:sz w:val="24"/>
          <w:szCs w:val="24"/>
        </w:rPr>
        <w:t>plná moc</w:t>
      </w:r>
    </w:p>
    <w:p w14:paraId="1FD7379E" w14:textId="1533FE03" w:rsidR="00203782" w:rsidRPr="00CB2DD8" w:rsidRDefault="006733FC" w:rsidP="00DD51CE">
      <w:pPr>
        <w:widowControl/>
        <w:pBdr>
          <w:top w:val="nil"/>
          <w:left w:val="nil"/>
          <w:bottom w:val="nil"/>
          <w:right w:val="nil"/>
          <w:between w:val="nil"/>
        </w:pBdr>
        <w:spacing w:after="120" w:line="240" w:lineRule="auto"/>
        <w:jc w:val="both"/>
        <w:rPr>
          <w:rFonts w:eastAsia="Calibri"/>
          <w:sz w:val="24"/>
          <w:szCs w:val="24"/>
        </w:rPr>
      </w:pPr>
      <w:r w:rsidRPr="00CB2DD8">
        <w:rPr>
          <w:rFonts w:eastAsia="Calibri"/>
          <w:sz w:val="24"/>
          <w:szCs w:val="24"/>
        </w:rPr>
        <w:t xml:space="preserve">V případě, že na straně Příjemce podpis místo statutárního </w:t>
      </w:r>
      <w:r w:rsidR="00E361D1">
        <w:rPr>
          <w:rFonts w:eastAsia="Calibri"/>
          <w:sz w:val="24"/>
          <w:szCs w:val="24"/>
        </w:rPr>
        <w:t>orgánu</w:t>
      </w:r>
      <w:r w:rsidR="00E361D1" w:rsidRPr="00CB2DD8">
        <w:rPr>
          <w:rFonts w:eastAsia="Calibri"/>
          <w:sz w:val="24"/>
          <w:szCs w:val="24"/>
        </w:rPr>
        <w:t xml:space="preserve"> </w:t>
      </w:r>
      <w:r w:rsidRPr="00CB2DD8">
        <w:rPr>
          <w:rFonts w:eastAsia="Calibri"/>
          <w:sz w:val="24"/>
          <w:szCs w:val="24"/>
        </w:rPr>
        <w:t xml:space="preserve">připojuje zmocněnec, musí Příjemce dodat originál či </w:t>
      </w:r>
      <w:r w:rsidR="00C754C3">
        <w:rPr>
          <w:rFonts w:eastAsia="Calibri"/>
          <w:sz w:val="24"/>
          <w:szCs w:val="24"/>
        </w:rPr>
        <w:t xml:space="preserve">úředně </w:t>
      </w:r>
      <w:r w:rsidRPr="00CB2DD8">
        <w:rPr>
          <w:rFonts w:eastAsia="Calibri"/>
          <w:sz w:val="24"/>
          <w:szCs w:val="24"/>
        </w:rPr>
        <w:t>ověřenou kopii příslušné plné moci</w:t>
      </w:r>
      <w:r w:rsidR="00E6389A" w:rsidRPr="00CB2DD8">
        <w:rPr>
          <w:rFonts w:eastAsia="Calibri"/>
          <w:sz w:val="24"/>
          <w:szCs w:val="24"/>
        </w:rPr>
        <w:t>, příp.</w:t>
      </w:r>
      <w:r w:rsidR="00991121" w:rsidRPr="00CB2DD8">
        <w:rPr>
          <w:rFonts w:eastAsia="Calibri"/>
          <w:sz w:val="24"/>
          <w:szCs w:val="24"/>
        </w:rPr>
        <w:t xml:space="preserve"> </w:t>
      </w:r>
      <w:r w:rsidR="00A67045" w:rsidRPr="00CB2DD8">
        <w:rPr>
          <w:rFonts w:eastAsia="Calibri"/>
          <w:sz w:val="24"/>
          <w:szCs w:val="24"/>
        </w:rPr>
        <w:t>o</w:t>
      </w:r>
      <w:r w:rsidR="00E6389A" w:rsidRPr="00CB2DD8">
        <w:rPr>
          <w:rFonts w:eastAsia="Calibri"/>
          <w:sz w:val="24"/>
          <w:szCs w:val="24"/>
        </w:rPr>
        <w:t xml:space="preserve">riginál </w:t>
      </w:r>
      <w:r w:rsidR="00BC5C4B" w:rsidRPr="00CB2DD8">
        <w:rPr>
          <w:rFonts w:eastAsia="Calibri"/>
          <w:sz w:val="24"/>
          <w:szCs w:val="24"/>
        </w:rPr>
        <w:t>Pověření (viz příloha</w:t>
      </w:r>
      <w:r w:rsidR="00FF493F" w:rsidRPr="00CB2DD8">
        <w:rPr>
          <w:rFonts w:eastAsia="Calibri"/>
          <w:sz w:val="24"/>
          <w:szCs w:val="24"/>
        </w:rPr>
        <w:t xml:space="preserve"> </w:t>
      </w:r>
      <w:r w:rsidR="000D1006">
        <w:rPr>
          <w:rFonts w:eastAsia="Calibri"/>
          <w:sz w:val="24"/>
          <w:szCs w:val="24"/>
        </w:rPr>
        <w:t>Metodiky č. 11</w:t>
      </w:r>
      <w:r w:rsidR="00BC5C4B" w:rsidRPr="00CB2DD8">
        <w:rPr>
          <w:rFonts w:eastAsia="Calibri"/>
          <w:sz w:val="24"/>
          <w:szCs w:val="24"/>
        </w:rPr>
        <w:t>)</w:t>
      </w:r>
      <w:r w:rsidR="00E6389A" w:rsidRPr="00CB2DD8">
        <w:rPr>
          <w:rFonts w:eastAsia="Calibri"/>
          <w:sz w:val="24"/>
          <w:szCs w:val="24"/>
        </w:rPr>
        <w:t>. Dokument</w:t>
      </w:r>
      <w:r w:rsidR="00BC5C4B" w:rsidRPr="00CB2DD8">
        <w:rPr>
          <w:rFonts w:eastAsia="Calibri"/>
          <w:sz w:val="24"/>
          <w:szCs w:val="24"/>
        </w:rPr>
        <w:t xml:space="preserve"> </w:t>
      </w:r>
      <w:r w:rsidR="00E6389A" w:rsidRPr="00CB2DD8">
        <w:rPr>
          <w:rFonts w:eastAsia="Calibri"/>
          <w:sz w:val="24"/>
          <w:szCs w:val="24"/>
        </w:rPr>
        <w:t>stačí</w:t>
      </w:r>
      <w:r w:rsidR="00BC5C4B" w:rsidRPr="00CB2DD8">
        <w:rPr>
          <w:rFonts w:eastAsia="Calibri"/>
          <w:sz w:val="24"/>
          <w:szCs w:val="24"/>
        </w:rPr>
        <w:t xml:space="preserve"> dodat pouze jednou. </w:t>
      </w:r>
    </w:p>
    <w:p w14:paraId="0D85DA76" w14:textId="4BF03F1E" w:rsidR="00BC0257" w:rsidRDefault="00F72D2F" w:rsidP="00CB2DD8">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CB2DD8">
        <w:rPr>
          <w:rFonts w:eastAsia="Calibri"/>
          <w:sz w:val="24"/>
          <w:szCs w:val="24"/>
        </w:rPr>
        <w:t xml:space="preserve"> v</w:t>
      </w:r>
      <w:r>
        <w:rPr>
          <w:rFonts w:eastAsia="Calibri"/>
          <w:sz w:val="24"/>
          <w:szCs w:val="24"/>
        </w:rPr>
        <w:t> tištěné podobě</w:t>
      </w:r>
      <w:r w:rsidR="00BC0257">
        <w:rPr>
          <w:rFonts w:eastAsia="Calibri"/>
          <w:sz w:val="24"/>
          <w:szCs w:val="24"/>
        </w:rPr>
        <w:t xml:space="preserve"> (originál nebo </w:t>
      </w:r>
      <w:r w:rsidR="00E8453E">
        <w:rPr>
          <w:rFonts w:eastAsia="Calibri"/>
          <w:sz w:val="24"/>
          <w:szCs w:val="24"/>
        </w:rPr>
        <w:t xml:space="preserve">úředně </w:t>
      </w:r>
      <w:r w:rsidR="00BC0257">
        <w:rPr>
          <w:rFonts w:eastAsia="Calibri"/>
          <w:sz w:val="24"/>
          <w:szCs w:val="24"/>
        </w:rPr>
        <w:t>ověřená kopie).</w:t>
      </w:r>
    </w:p>
    <w:p w14:paraId="0DBAF443" w14:textId="77777777" w:rsidR="00DD0686" w:rsidRPr="00CB2DD8" w:rsidRDefault="00DD0686" w:rsidP="00DD0686">
      <w:pPr>
        <w:widowControl/>
        <w:pBdr>
          <w:top w:val="nil"/>
          <w:left w:val="nil"/>
          <w:bottom w:val="nil"/>
          <w:right w:val="nil"/>
          <w:between w:val="nil"/>
        </w:pBdr>
        <w:spacing w:after="120" w:line="240" w:lineRule="auto"/>
        <w:jc w:val="both"/>
        <w:rPr>
          <w:rFonts w:eastAsia="Calibri"/>
          <w:sz w:val="24"/>
          <w:szCs w:val="24"/>
        </w:rPr>
      </w:pPr>
      <w:r w:rsidRPr="00CB2DD8">
        <w:rPr>
          <w:rFonts w:eastAsia="Calibri"/>
          <w:sz w:val="24"/>
          <w:szCs w:val="24"/>
        </w:rPr>
        <w:lastRenderedPageBreak/>
        <w:t>Příjemce uchovává kopii Pověření nebo originál/kopii plné moci.</w:t>
      </w:r>
    </w:p>
    <w:p w14:paraId="36A041A4" w14:textId="77777777" w:rsidR="004255D9" w:rsidRPr="00DD51CE" w:rsidRDefault="004255D9" w:rsidP="00DD51CE">
      <w:pPr>
        <w:widowControl/>
        <w:spacing w:after="120" w:line="240" w:lineRule="auto"/>
        <w:ind w:left="720"/>
        <w:jc w:val="both"/>
        <w:rPr>
          <w:b/>
          <w:sz w:val="24"/>
          <w:szCs w:val="24"/>
        </w:rPr>
      </w:pPr>
    </w:p>
    <w:p w14:paraId="3D0313DC" w14:textId="0E893F89" w:rsidR="004255D9" w:rsidRPr="00DB3375" w:rsidRDefault="006733FC" w:rsidP="00402FBE">
      <w:pPr>
        <w:numPr>
          <w:ilvl w:val="0"/>
          <w:numId w:val="18"/>
        </w:numPr>
        <w:spacing w:after="120" w:line="240" w:lineRule="auto"/>
        <w:ind w:left="567" w:hanging="567"/>
        <w:rPr>
          <w:b/>
          <w:sz w:val="24"/>
          <w:szCs w:val="24"/>
        </w:rPr>
      </w:pPr>
      <w:r w:rsidRPr="00DB3375">
        <w:rPr>
          <w:b/>
          <w:sz w:val="24"/>
          <w:szCs w:val="24"/>
        </w:rPr>
        <w:t xml:space="preserve">Zpráva o </w:t>
      </w:r>
      <w:r w:rsidR="00115032">
        <w:rPr>
          <w:b/>
          <w:sz w:val="24"/>
          <w:szCs w:val="24"/>
        </w:rPr>
        <w:t xml:space="preserve">průběhu </w:t>
      </w:r>
      <w:r w:rsidR="00DB3375" w:rsidRPr="00DB3375">
        <w:rPr>
          <w:b/>
          <w:sz w:val="24"/>
          <w:szCs w:val="24"/>
        </w:rPr>
        <w:t>specializační</w:t>
      </w:r>
      <w:r w:rsidR="00115032">
        <w:rPr>
          <w:b/>
          <w:sz w:val="24"/>
          <w:szCs w:val="24"/>
        </w:rPr>
        <w:t>ho</w:t>
      </w:r>
      <w:r w:rsidR="00DB3375" w:rsidRPr="00DB3375">
        <w:rPr>
          <w:b/>
          <w:sz w:val="24"/>
          <w:szCs w:val="24"/>
        </w:rPr>
        <w:t xml:space="preserve"> vzdělávání</w:t>
      </w:r>
      <w:r w:rsidRPr="00DB3375">
        <w:rPr>
          <w:b/>
          <w:sz w:val="24"/>
          <w:szCs w:val="24"/>
        </w:rPr>
        <w:t xml:space="preserve"> </w:t>
      </w:r>
    </w:p>
    <w:p w14:paraId="65C2FFF7" w14:textId="06A481D9" w:rsidR="00402FBE" w:rsidRDefault="006733FC" w:rsidP="00FD7FAA">
      <w:pPr>
        <w:widowControl/>
        <w:spacing w:after="120" w:line="240" w:lineRule="auto"/>
        <w:jc w:val="both"/>
        <w:rPr>
          <w:rFonts w:eastAsia="Calibri"/>
          <w:sz w:val="24"/>
          <w:szCs w:val="24"/>
        </w:rPr>
      </w:pPr>
      <w:r w:rsidRPr="00F30755">
        <w:rPr>
          <w:rFonts w:eastAsia="Calibri"/>
          <w:sz w:val="24"/>
          <w:szCs w:val="24"/>
        </w:rPr>
        <w:t xml:space="preserve">Zpráva o </w:t>
      </w:r>
      <w:r w:rsidR="00F30755" w:rsidRPr="00F30755">
        <w:rPr>
          <w:rFonts w:eastAsia="Calibri"/>
          <w:sz w:val="24"/>
          <w:szCs w:val="24"/>
        </w:rPr>
        <w:t xml:space="preserve">průběhu </w:t>
      </w:r>
      <w:r w:rsidR="00DB3375" w:rsidRPr="00F30755">
        <w:rPr>
          <w:rFonts w:eastAsia="Calibri"/>
          <w:sz w:val="24"/>
          <w:szCs w:val="24"/>
        </w:rPr>
        <w:t>specializační</w:t>
      </w:r>
      <w:r w:rsidR="00F30755" w:rsidRPr="00F30755">
        <w:rPr>
          <w:rFonts w:eastAsia="Calibri"/>
          <w:sz w:val="24"/>
          <w:szCs w:val="24"/>
        </w:rPr>
        <w:t>ho</w:t>
      </w:r>
      <w:r w:rsidR="00DB3375" w:rsidRPr="00F30755">
        <w:rPr>
          <w:rFonts w:eastAsia="Calibri"/>
          <w:sz w:val="24"/>
          <w:szCs w:val="24"/>
        </w:rPr>
        <w:t xml:space="preserve"> vzdělávání </w:t>
      </w:r>
      <w:r w:rsidR="000D1006">
        <w:rPr>
          <w:rFonts w:eastAsia="Calibri"/>
          <w:sz w:val="24"/>
          <w:szCs w:val="24"/>
        </w:rPr>
        <w:t xml:space="preserve">(viz příloha Metodiky č. 15) </w:t>
      </w:r>
      <w:r w:rsidR="00DB3375" w:rsidRPr="00F30755">
        <w:rPr>
          <w:rFonts w:eastAsia="Calibri"/>
          <w:sz w:val="24"/>
          <w:szCs w:val="24"/>
        </w:rPr>
        <w:t>včetně prohlášení</w:t>
      </w:r>
      <w:r w:rsidRPr="00F30755">
        <w:rPr>
          <w:rFonts w:eastAsia="Calibri"/>
          <w:sz w:val="24"/>
          <w:szCs w:val="24"/>
        </w:rPr>
        <w:t xml:space="preserve"> s podpisem statutárního </w:t>
      </w:r>
      <w:r w:rsidR="00E361D1">
        <w:rPr>
          <w:rFonts w:eastAsia="Calibri"/>
          <w:sz w:val="24"/>
          <w:szCs w:val="24"/>
        </w:rPr>
        <w:t>orgánu</w:t>
      </w:r>
      <w:r w:rsidR="00FD7FAA">
        <w:rPr>
          <w:rFonts w:eastAsia="Calibri"/>
          <w:sz w:val="24"/>
          <w:szCs w:val="24"/>
        </w:rPr>
        <w:t>, příp. zmocněnce (viz kapitola 3.3 bod 1 tohoto Metodického pokynu)</w:t>
      </w:r>
      <w:r w:rsidR="00FD7FAA" w:rsidRPr="00DD51CE">
        <w:rPr>
          <w:rFonts w:eastAsia="Calibri"/>
          <w:sz w:val="24"/>
          <w:szCs w:val="24"/>
        </w:rPr>
        <w:t>.</w:t>
      </w:r>
      <w:r w:rsidRPr="00DD51CE">
        <w:rPr>
          <w:rFonts w:eastAsia="Calibri"/>
          <w:sz w:val="24"/>
          <w:szCs w:val="24"/>
        </w:rPr>
        <w:t xml:space="preserve"> </w:t>
      </w:r>
    </w:p>
    <w:p w14:paraId="091F358A" w14:textId="1C2D387A" w:rsidR="00F72D2F" w:rsidRPr="00DD51CE" w:rsidRDefault="00F72D2F" w:rsidP="00F72D2F">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CB2DD8">
        <w:rPr>
          <w:rFonts w:eastAsia="Calibri"/>
          <w:sz w:val="24"/>
          <w:szCs w:val="24"/>
        </w:rPr>
        <w:t xml:space="preserve"> v</w:t>
      </w:r>
      <w:r>
        <w:rPr>
          <w:rFonts w:eastAsia="Calibri"/>
          <w:sz w:val="24"/>
          <w:szCs w:val="24"/>
        </w:rPr>
        <w:t> tištěné podobě</w:t>
      </w:r>
      <w:r w:rsidR="00BC0257">
        <w:rPr>
          <w:rFonts w:eastAsia="Calibri"/>
          <w:sz w:val="24"/>
          <w:szCs w:val="24"/>
        </w:rPr>
        <w:t xml:space="preserve"> (originál)</w:t>
      </w:r>
      <w:r>
        <w:rPr>
          <w:rFonts w:eastAsia="Calibri"/>
          <w:sz w:val="24"/>
          <w:szCs w:val="24"/>
        </w:rPr>
        <w:t>.</w:t>
      </w:r>
    </w:p>
    <w:p w14:paraId="3A1DAC40" w14:textId="18536463" w:rsidR="004255D9" w:rsidRPr="00DD51CE" w:rsidRDefault="00BC5C4B" w:rsidP="00DD51CE">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Příjemce uchovává kopii.</w:t>
      </w:r>
    </w:p>
    <w:p w14:paraId="1F65D81D" w14:textId="77777777" w:rsidR="004255D9" w:rsidRPr="00DD51CE" w:rsidRDefault="004255D9" w:rsidP="00DD51CE">
      <w:pPr>
        <w:spacing w:after="120" w:line="240" w:lineRule="auto"/>
        <w:ind w:left="720"/>
        <w:rPr>
          <w:b/>
          <w:sz w:val="24"/>
          <w:szCs w:val="24"/>
          <w:shd w:val="clear" w:color="auto" w:fill="FF9900"/>
        </w:rPr>
      </w:pPr>
    </w:p>
    <w:p w14:paraId="2120813E" w14:textId="1F5CCA5D" w:rsidR="004255D9" w:rsidRPr="00402FBE" w:rsidRDefault="006733FC" w:rsidP="00FD7FAA">
      <w:pPr>
        <w:keepNext/>
        <w:numPr>
          <w:ilvl w:val="0"/>
          <w:numId w:val="18"/>
        </w:numPr>
        <w:spacing w:after="120" w:line="240" w:lineRule="auto"/>
        <w:ind w:left="567" w:hanging="567"/>
        <w:rPr>
          <w:b/>
          <w:sz w:val="24"/>
          <w:szCs w:val="24"/>
        </w:rPr>
      </w:pPr>
      <w:r w:rsidRPr="00402FBE">
        <w:rPr>
          <w:b/>
          <w:sz w:val="24"/>
          <w:szCs w:val="24"/>
        </w:rPr>
        <w:t xml:space="preserve">Tabulka Vyúčtování </w:t>
      </w:r>
    </w:p>
    <w:p w14:paraId="4F347CB3" w14:textId="7016239E" w:rsidR="00F30755" w:rsidRDefault="006733FC" w:rsidP="00FD7FAA">
      <w:pPr>
        <w:widowControl/>
        <w:spacing w:after="120" w:line="240" w:lineRule="auto"/>
        <w:jc w:val="both"/>
        <w:rPr>
          <w:rFonts w:eastAsia="Calibri"/>
          <w:sz w:val="24"/>
          <w:szCs w:val="24"/>
        </w:rPr>
      </w:pPr>
      <w:r w:rsidRPr="00DD51CE">
        <w:rPr>
          <w:rFonts w:eastAsia="Calibri"/>
          <w:sz w:val="24"/>
          <w:szCs w:val="24"/>
        </w:rPr>
        <w:t xml:space="preserve">Tabulka </w:t>
      </w:r>
      <w:r w:rsidR="00FA2DF8" w:rsidRPr="00DD51CE">
        <w:rPr>
          <w:rFonts w:eastAsia="Calibri"/>
          <w:sz w:val="24"/>
          <w:szCs w:val="24"/>
        </w:rPr>
        <w:t>V</w:t>
      </w:r>
      <w:r w:rsidRPr="00DD51CE">
        <w:rPr>
          <w:rFonts w:eastAsia="Calibri"/>
          <w:sz w:val="24"/>
          <w:szCs w:val="24"/>
        </w:rPr>
        <w:t>yúčtování</w:t>
      </w:r>
      <w:r w:rsidR="000D1006">
        <w:rPr>
          <w:rFonts w:eastAsia="Calibri"/>
          <w:sz w:val="24"/>
          <w:szCs w:val="24"/>
        </w:rPr>
        <w:t xml:space="preserve"> (viz příloha Metodiky č. 14) </w:t>
      </w:r>
      <w:r w:rsidRPr="00DD51CE">
        <w:rPr>
          <w:rFonts w:eastAsia="Calibri"/>
          <w:sz w:val="24"/>
          <w:szCs w:val="24"/>
        </w:rPr>
        <w:t>za celé monitorovací období s</w:t>
      </w:r>
      <w:r w:rsidR="000D1006">
        <w:rPr>
          <w:rFonts w:eastAsia="Calibri"/>
          <w:sz w:val="24"/>
          <w:szCs w:val="24"/>
        </w:rPr>
        <w:t> </w:t>
      </w:r>
      <w:r w:rsidRPr="00DD51CE">
        <w:rPr>
          <w:rFonts w:eastAsia="Calibri"/>
          <w:sz w:val="24"/>
          <w:szCs w:val="24"/>
        </w:rPr>
        <w:t xml:space="preserve">podpisem statutárního </w:t>
      </w:r>
      <w:r w:rsidR="00E361D1">
        <w:rPr>
          <w:rFonts w:eastAsia="Calibri"/>
          <w:sz w:val="24"/>
          <w:szCs w:val="24"/>
        </w:rPr>
        <w:t>orgánu</w:t>
      </w:r>
      <w:r w:rsidR="00FD7FAA">
        <w:rPr>
          <w:rFonts w:eastAsia="Calibri"/>
          <w:sz w:val="24"/>
          <w:szCs w:val="24"/>
        </w:rPr>
        <w:t>, příp. zmocněnce (viz kapitola 3.3 bod 1 tohoto Metodického pokynu)</w:t>
      </w:r>
      <w:r w:rsidR="00FD7FAA" w:rsidRPr="00DD51CE">
        <w:rPr>
          <w:rFonts w:eastAsia="Calibri"/>
          <w:sz w:val="24"/>
          <w:szCs w:val="24"/>
        </w:rPr>
        <w:t>.</w:t>
      </w:r>
    </w:p>
    <w:p w14:paraId="2BA0CA07" w14:textId="77777777" w:rsidR="00F30755" w:rsidRPr="00DD51CE" w:rsidRDefault="00F30755" w:rsidP="00F30755">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Maximální limity pro způsobilé výdaje jsou stanoveny v tomto Metodickém pokynu.</w:t>
      </w:r>
    </w:p>
    <w:p w14:paraId="76E21C46" w14:textId="702A1542" w:rsidR="004255D9" w:rsidRPr="00DD51CE" w:rsidRDefault="00F72D2F" w:rsidP="00DD51CE">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CB2DD8">
        <w:rPr>
          <w:rFonts w:eastAsia="Calibri"/>
          <w:sz w:val="24"/>
          <w:szCs w:val="24"/>
        </w:rPr>
        <w:t xml:space="preserve"> v</w:t>
      </w:r>
      <w:r>
        <w:rPr>
          <w:rFonts w:eastAsia="Calibri"/>
          <w:sz w:val="24"/>
          <w:szCs w:val="24"/>
        </w:rPr>
        <w:t xml:space="preserve"> tištěné </w:t>
      </w:r>
      <w:r w:rsidR="00BC0257">
        <w:rPr>
          <w:rFonts w:eastAsia="Calibri"/>
          <w:sz w:val="24"/>
          <w:szCs w:val="24"/>
        </w:rPr>
        <w:t xml:space="preserve">(originál) </w:t>
      </w:r>
      <w:r>
        <w:rPr>
          <w:rFonts w:eastAsia="Calibri"/>
          <w:sz w:val="24"/>
          <w:szCs w:val="24"/>
        </w:rPr>
        <w:t>i elektronické podobě (e</w:t>
      </w:r>
      <w:r w:rsidR="006733FC" w:rsidRPr="00DD51CE">
        <w:rPr>
          <w:rFonts w:eastAsia="Calibri"/>
          <w:sz w:val="24"/>
          <w:szCs w:val="24"/>
        </w:rPr>
        <w:t xml:space="preserve">ditovatelný formát: nejlépe </w:t>
      </w:r>
      <w:proofErr w:type="spellStart"/>
      <w:r w:rsidR="006733FC" w:rsidRPr="00DD51CE">
        <w:rPr>
          <w:rFonts w:eastAsia="Calibri"/>
          <w:sz w:val="24"/>
          <w:szCs w:val="24"/>
        </w:rPr>
        <w:t>xls</w:t>
      </w:r>
      <w:proofErr w:type="spellEnd"/>
      <w:r w:rsidR="006733FC" w:rsidRPr="00DD51CE">
        <w:rPr>
          <w:rFonts w:eastAsia="Calibri"/>
          <w:sz w:val="24"/>
          <w:szCs w:val="24"/>
        </w:rPr>
        <w:t xml:space="preserve"> či </w:t>
      </w:r>
      <w:proofErr w:type="spellStart"/>
      <w:r w:rsidR="006733FC" w:rsidRPr="00DD51CE">
        <w:rPr>
          <w:rFonts w:eastAsia="Calibri"/>
          <w:sz w:val="24"/>
          <w:szCs w:val="24"/>
        </w:rPr>
        <w:t>xlsx</w:t>
      </w:r>
      <w:proofErr w:type="spellEnd"/>
      <w:r>
        <w:rPr>
          <w:rFonts w:eastAsia="Calibri"/>
          <w:sz w:val="24"/>
          <w:szCs w:val="24"/>
        </w:rPr>
        <w:t>)</w:t>
      </w:r>
      <w:r w:rsidR="006733FC" w:rsidRPr="00DD51CE">
        <w:rPr>
          <w:rFonts w:eastAsia="Calibri"/>
          <w:sz w:val="24"/>
          <w:szCs w:val="24"/>
        </w:rPr>
        <w:t>.</w:t>
      </w:r>
    </w:p>
    <w:p w14:paraId="2DD6F259" w14:textId="0EBE2948" w:rsidR="00FA2DF8" w:rsidRPr="00DD51CE" w:rsidRDefault="00FA2DF8" w:rsidP="00DD51CE">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Příjemce uchovává kopii.</w:t>
      </w:r>
    </w:p>
    <w:p w14:paraId="6FAD941D" w14:textId="3CB7F109" w:rsidR="004255D9" w:rsidRPr="00DD51CE" w:rsidRDefault="00B8448E" w:rsidP="00DD51CE">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 xml:space="preserve">Předmětem kontroly na místě mohou být </w:t>
      </w:r>
      <w:r w:rsidR="00DD0686">
        <w:rPr>
          <w:rFonts w:eastAsia="Calibri"/>
          <w:sz w:val="24"/>
          <w:szCs w:val="24"/>
        </w:rPr>
        <w:t>v</w:t>
      </w:r>
      <w:r w:rsidR="006733FC" w:rsidRPr="00DD51CE">
        <w:rPr>
          <w:rFonts w:eastAsia="Calibri"/>
          <w:sz w:val="24"/>
          <w:szCs w:val="24"/>
        </w:rPr>
        <w:t xml:space="preserve">ýplatní a zúčtovací listiny, mzdové listy, příp. výplatní pásky, za </w:t>
      </w:r>
      <w:r w:rsidR="001E6A30">
        <w:rPr>
          <w:rFonts w:eastAsia="Calibri"/>
          <w:sz w:val="24"/>
          <w:szCs w:val="24"/>
        </w:rPr>
        <w:t>účastníka</w:t>
      </w:r>
      <w:r w:rsidR="006733FC" w:rsidRPr="00DD51CE">
        <w:rPr>
          <w:rFonts w:eastAsia="Calibri"/>
          <w:sz w:val="24"/>
          <w:szCs w:val="24"/>
        </w:rPr>
        <w:t>, na které</w:t>
      </w:r>
      <w:r w:rsidR="00EA2570">
        <w:rPr>
          <w:rFonts w:eastAsia="Calibri"/>
          <w:sz w:val="24"/>
          <w:szCs w:val="24"/>
        </w:rPr>
        <w:t>ho</w:t>
      </w:r>
      <w:r w:rsidR="006733FC" w:rsidRPr="00DD51CE">
        <w:rPr>
          <w:rFonts w:eastAsia="Calibri"/>
          <w:sz w:val="24"/>
          <w:szCs w:val="24"/>
        </w:rPr>
        <w:t xml:space="preserve"> se čerpají mzdové příspěvky (náklady na mzdu/plat, resp. náhrady mzdy/platu za pracovní volno)</w:t>
      </w:r>
      <w:r w:rsidR="001918D6" w:rsidRPr="00DD51CE">
        <w:rPr>
          <w:rFonts w:eastAsia="Calibri"/>
          <w:sz w:val="24"/>
          <w:szCs w:val="24"/>
        </w:rPr>
        <w:t xml:space="preserve"> apod.</w:t>
      </w:r>
      <w:r w:rsidR="006733FC" w:rsidRPr="00DD51CE">
        <w:rPr>
          <w:rFonts w:eastAsia="Calibri"/>
          <w:sz w:val="24"/>
          <w:szCs w:val="24"/>
        </w:rPr>
        <w:t xml:space="preserve"> </w:t>
      </w:r>
    </w:p>
    <w:p w14:paraId="711800B6" w14:textId="77777777" w:rsidR="004255D9" w:rsidRPr="00DD51CE" w:rsidRDefault="004255D9" w:rsidP="00DD51CE">
      <w:pPr>
        <w:spacing w:after="120" w:line="240" w:lineRule="auto"/>
        <w:rPr>
          <w:sz w:val="24"/>
          <w:szCs w:val="24"/>
        </w:rPr>
      </w:pPr>
    </w:p>
    <w:p w14:paraId="40E040C6" w14:textId="002B00E8" w:rsidR="004255D9" w:rsidRPr="00402FBE" w:rsidRDefault="006733FC" w:rsidP="00402FBE">
      <w:pPr>
        <w:numPr>
          <w:ilvl w:val="0"/>
          <w:numId w:val="18"/>
        </w:numPr>
        <w:spacing w:after="120" w:line="240" w:lineRule="auto"/>
        <w:ind w:left="567" w:hanging="567"/>
        <w:rPr>
          <w:b/>
          <w:sz w:val="24"/>
          <w:szCs w:val="24"/>
        </w:rPr>
      </w:pPr>
      <w:r w:rsidRPr="00402FBE">
        <w:rPr>
          <w:b/>
          <w:sz w:val="24"/>
          <w:szCs w:val="24"/>
        </w:rPr>
        <w:t>Účetní doklady</w:t>
      </w:r>
    </w:p>
    <w:p w14:paraId="5E68D30F" w14:textId="6F8FA640" w:rsidR="00203782" w:rsidRPr="00802192" w:rsidRDefault="006733FC" w:rsidP="00DD51CE">
      <w:pPr>
        <w:widowControl/>
        <w:spacing w:after="120" w:line="240" w:lineRule="auto"/>
        <w:jc w:val="both"/>
        <w:rPr>
          <w:rFonts w:eastAsia="Calibri"/>
          <w:sz w:val="24"/>
          <w:szCs w:val="24"/>
        </w:rPr>
      </w:pPr>
      <w:r w:rsidRPr="002F4119">
        <w:rPr>
          <w:rFonts w:eastAsia="Times New Roman"/>
          <w:sz w:val="24"/>
          <w:szCs w:val="24"/>
        </w:rPr>
        <w:t>Kopie/skeny účetních dokladů v</w:t>
      </w:r>
      <w:r w:rsidR="00FA2DF8" w:rsidRPr="002F4119">
        <w:rPr>
          <w:rFonts w:eastAsia="Times New Roman"/>
          <w:sz w:val="24"/>
          <w:szCs w:val="24"/>
        </w:rPr>
        <w:t> </w:t>
      </w:r>
      <w:r w:rsidRPr="002F4119">
        <w:rPr>
          <w:rFonts w:eastAsia="Times New Roman"/>
          <w:sz w:val="24"/>
          <w:szCs w:val="24"/>
        </w:rPr>
        <w:t>případě</w:t>
      </w:r>
      <w:r w:rsidR="00FA2DF8" w:rsidRPr="002F4119">
        <w:rPr>
          <w:rFonts w:eastAsia="Times New Roman"/>
          <w:sz w:val="24"/>
          <w:szCs w:val="24"/>
        </w:rPr>
        <w:t xml:space="preserve"> ubytování nebo výdajů za vzdělávací aktivity</w:t>
      </w:r>
      <w:r w:rsidRPr="002F4119">
        <w:rPr>
          <w:rFonts w:eastAsia="Times New Roman"/>
          <w:sz w:val="24"/>
          <w:szCs w:val="24"/>
        </w:rPr>
        <w:t xml:space="preserve">, pokud částka, která je z </w:t>
      </w:r>
      <w:r w:rsidRPr="00802192">
        <w:rPr>
          <w:rFonts w:eastAsia="Times New Roman"/>
          <w:sz w:val="24"/>
          <w:szCs w:val="24"/>
        </w:rPr>
        <w:t xml:space="preserve">nich nárokována jakožto výdaj </w:t>
      </w:r>
      <w:r w:rsidR="00802192" w:rsidRPr="00802192">
        <w:rPr>
          <w:rFonts w:eastAsia="Times New Roman"/>
          <w:sz w:val="24"/>
          <w:szCs w:val="24"/>
        </w:rPr>
        <w:t>P</w:t>
      </w:r>
      <w:r w:rsidR="00B0657C" w:rsidRPr="00802192">
        <w:rPr>
          <w:rFonts w:eastAsia="Times New Roman"/>
          <w:sz w:val="24"/>
          <w:szCs w:val="24"/>
        </w:rPr>
        <w:t>rojekt</w:t>
      </w:r>
      <w:r w:rsidRPr="00802192">
        <w:rPr>
          <w:rFonts w:eastAsia="Times New Roman"/>
          <w:sz w:val="24"/>
          <w:szCs w:val="24"/>
        </w:rPr>
        <w:t xml:space="preserve">u, přesahuje </w:t>
      </w:r>
      <w:proofErr w:type="gramStart"/>
      <w:r w:rsidRPr="00802192">
        <w:rPr>
          <w:rFonts w:eastAsia="Times New Roman"/>
          <w:sz w:val="24"/>
          <w:szCs w:val="24"/>
        </w:rPr>
        <w:t>10.000</w:t>
      </w:r>
      <w:r w:rsidR="005A65BA">
        <w:rPr>
          <w:rFonts w:eastAsia="Times New Roman"/>
          <w:sz w:val="24"/>
          <w:szCs w:val="24"/>
        </w:rPr>
        <w:t>,</w:t>
      </w:r>
      <w:r w:rsidR="00EF37BC">
        <w:rPr>
          <w:rFonts w:eastAsia="Times New Roman"/>
          <w:sz w:val="24"/>
          <w:szCs w:val="24"/>
        </w:rPr>
        <w:t>-</w:t>
      </w:r>
      <w:proofErr w:type="gramEnd"/>
      <w:r w:rsidR="00EA2570">
        <w:rPr>
          <w:rFonts w:eastAsia="Times New Roman"/>
          <w:sz w:val="24"/>
          <w:szCs w:val="24"/>
        </w:rPr>
        <w:t> </w:t>
      </w:r>
      <w:r w:rsidR="00C10266">
        <w:rPr>
          <w:rFonts w:eastAsia="Times New Roman"/>
          <w:sz w:val="24"/>
          <w:szCs w:val="24"/>
        </w:rPr>
        <w:t>K</w:t>
      </w:r>
      <w:r w:rsidR="001918D6" w:rsidRPr="00802192">
        <w:rPr>
          <w:rFonts w:eastAsia="Times New Roman"/>
          <w:sz w:val="24"/>
          <w:szCs w:val="24"/>
        </w:rPr>
        <w:t>č</w:t>
      </w:r>
      <w:r w:rsidRPr="00802192">
        <w:rPr>
          <w:rFonts w:eastAsia="Calibri"/>
          <w:sz w:val="24"/>
          <w:szCs w:val="24"/>
        </w:rPr>
        <w:t>.</w:t>
      </w:r>
      <w:r w:rsidR="001918D6" w:rsidRPr="00802192">
        <w:rPr>
          <w:rFonts w:eastAsia="Calibri"/>
          <w:sz w:val="24"/>
          <w:szCs w:val="24"/>
        </w:rPr>
        <w:t xml:space="preserve"> </w:t>
      </w:r>
      <w:r w:rsidR="002B5F9D">
        <w:rPr>
          <w:rFonts w:eastAsia="Calibri"/>
          <w:sz w:val="24"/>
          <w:szCs w:val="24"/>
        </w:rPr>
        <w:t>Doložení účetních dokladů</w:t>
      </w:r>
      <w:r w:rsidR="00FA2DF8" w:rsidRPr="00802192">
        <w:rPr>
          <w:rFonts w:eastAsia="Calibri"/>
          <w:sz w:val="24"/>
          <w:szCs w:val="24"/>
        </w:rPr>
        <w:t xml:space="preserve"> se n</w:t>
      </w:r>
      <w:r w:rsidR="001918D6" w:rsidRPr="00802192">
        <w:rPr>
          <w:rFonts w:eastAsia="Calibri"/>
          <w:sz w:val="24"/>
          <w:szCs w:val="24"/>
        </w:rPr>
        <w:t>etýká mzdových</w:t>
      </w:r>
      <w:r w:rsidR="00202D38" w:rsidRPr="00802192">
        <w:rPr>
          <w:rFonts w:eastAsia="Calibri"/>
          <w:sz w:val="24"/>
          <w:szCs w:val="24"/>
        </w:rPr>
        <w:t>/platových</w:t>
      </w:r>
      <w:r w:rsidR="001918D6" w:rsidRPr="00802192">
        <w:rPr>
          <w:rFonts w:eastAsia="Calibri"/>
          <w:sz w:val="24"/>
          <w:szCs w:val="24"/>
        </w:rPr>
        <w:t xml:space="preserve"> příspěvků.</w:t>
      </w:r>
      <w:r w:rsidR="00FA2DF8" w:rsidRPr="00802192">
        <w:rPr>
          <w:rFonts w:eastAsia="Calibri"/>
          <w:sz w:val="24"/>
          <w:szCs w:val="24"/>
        </w:rPr>
        <w:t xml:space="preserve"> </w:t>
      </w:r>
    </w:p>
    <w:p w14:paraId="69426F87" w14:textId="546E077B" w:rsidR="00F72D2F" w:rsidRDefault="00F72D2F"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xml:space="preserve"> tištěné </w:t>
      </w:r>
      <w:r w:rsidR="00BC0257">
        <w:rPr>
          <w:rFonts w:eastAsia="Calibri"/>
          <w:sz w:val="24"/>
          <w:szCs w:val="24"/>
        </w:rPr>
        <w:t xml:space="preserve">(prostá kopie) </w:t>
      </w:r>
      <w:r>
        <w:rPr>
          <w:rFonts w:eastAsia="Calibri"/>
          <w:sz w:val="24"/>
          <w:szCs w:val="24"/>
        </w:rPr>
        <w:t>nebo elektronické podobě (</w:t>
      </w:r>
      <w:proofErr w:type="spellStart"/>
      <w:r>
        <w:rPr>
          <w:rFonts w:eastAsia="Calibri"/>
          <w:sz w:val="24"/>
          <w:szCs w:val="24"/>
        </w:rPr>
        <w:t>pdf</w:t>
      </w:r>
      <w:proofErr w:type="spellEnd"/>
      <w:r>
        <w:rPr>
          <w:rFonts w:eastAsia="Calibri"/>
          <w:sz w:val="24"/>
          <w:szCs w:val="24"/>
        </w:rPr>
        <w:t>).</w:t>
      </w:r>
    </w:p>
    <w:p w14:paraId="7621D31A" w14:textId="4FD517FA" w:rsidR="004255D9" w:rsidRDefault="00FA2DF8" w:rsidP="00DD51CE">
      <w:pPr>
        <w:widowControl/>
        <w:spacing w:after="120" w:line="240" w:lineRule="auto"/>
        <w:jc w:val="both"/>
        <w:rPr>
          <w:rFonts w:eastAsia="Calibri"/>
          <w:sz w:val="24"/>
          <w:szCs w:val="24"/>
        </w:rPr>
      </w:pPr>
      <w:r w:rsidRPr="00802192">
        <w:rPr>
          <w:rFonts w:eastAsia="Calibri"/>
          <w:sz w:val="24"/>
          <w:szCs w:val="24"/>
        </w:rPr>
        <w:t>Příjemce uchovává originály.</w:t>
      </w:r>
    </w:p>
    <w:p w14:paraId="3D059F26" w14:textId="2E97D4DE" w:rsidR="00F72D2F" w:rsidRPr="00802192" w:rsidRDefault="00F72D2F"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 xml:space="preserve">Předmětem kontroly na místě </w:t>
      </w:r>
      <w:r w:rsidR="00DD0686">
        <w:rPr>
          <w:rFonts w:eastAsia="Calibri"/>
          <w:sz w:val="24"/>
          <w:szCs w:val="24"/>
        </w:rPr>
        <w:t>mohou být</w:t>
      </w:r>
      <w:r>
        <w:rPr>
          <w:rFonts w:eastAsia="Calibri"/>
          <w:sz w:val="24"/>
          <w:szCs w:val="24"/>
        </w:rPr>
        <w:t xml:space="preserve"> </w:t>
      </w:r>
      <w:r w:rsidR="00B8448E">
        <w:rPr>
          <w:rFonts w:eastAsia="Calibri"/>
          <w:sz w:val="24"/>
          <w:szCs w:val="24"/>
        </w:rPr>
        <w:t xml:space="preserve">i </w:t>
      </w:r>
      <w:r>
        <w:rPr>
          <w:rFonts w:eastAsia="Calibri"/>
          <w:sz w:val="24"/>
          <w:szCs w:val="24"/>
        </w:rPr>
        <w:t xml:space="preserve">doklady do </w:t>
      </w:r>
      <w:proofErr w:type="gramStart"/>
      <w:r>
        <w:rPr>
          <w:rFonts w:eastAsia="Calibri"/>
          <w:sz w:val="24"/>
          <w:szCs w:val="24"/>
        </w:rPr>
        <w:t>10.000,-</w:t>
      </w:r>
      <w:proofErr w:type="gramEnd"/>
      <w:r>
        <w:rPr>
          <w:rFonts w:eastAsia="Calibri"/>
          <w:sz w:val="24"/>
          <w:szCs w:val="24"/>
        </w:rPr>
        <w:t xml:space="preserve"> Kč</w:t>
      </w:r>
      <w:r w:rsidR="002B5F9D">
        <w:rPr>
          <w:rFonts w:eastAsia="Calibri"/>
          <w:sz w:val="24"/>
          <w:szCs w:val="24"/>
        </w:rPr>
        <w:t xml:space="preserve"> a doklady týkající se mzdových/platových příspěvků</w:t>
      </w:r>
      <w:r>
        <w:rPr>
          <w:rFonts w:eastAsia="Calibri"/>
          <w:sz w:val="24"/>
          <w:szCs w:val="24"/>
        </w:rPr>
        <w:t>.</w:t>
      </w:r>
    </w:p>
    <w:p w14:paraId="3E1689D3" w14:textId="77777777" w:rsidR="00402FBE" w:rsidRPr="00802192" w:rsidRDefault="00402FBE" w:rsidP="00DD51CE">
      <w:pPr>
        <w:widowControl/>
        <w:spacing w:after="120" w:line="240" w:lineRule="auto"/>
        <w:jc w:val="both"/>
        <w:rPr>
          <w:rFonts w:eastAsia="Calibri"/>
          <w:sz w:val="24"/>
          <w:szCs w:val="24"/>
        </w:rPr>
      </w:pPr>
    </w:p>
    <w:p w14:paraId="194BE617" w14:textId="11B5FDEA" w:rsidR="004255D9" w:rsidRPr="00F72D2F" w:rsidRDefault="006733FC" w:rsidP="00F72D2F">
      <w:pPr>
        <w:numPr>
          <w:ilvl w:val="0"/>
          <w:numId w:val="18"/>
        </w:numPr>
        <w:spacing w:after="120" w:line="240" w:lineRule="auto"/>
        <w:ind w:left="567" w:hanging="567"/>
        <w:rPr>
          <w:b/>
          <w:sz w:val="24"/>
          <w:szCs w:val="24"/>
        </w:rPr>
      </w:pPr>
      <w:r w:rsidRPr="00802192">
        <w:rPr>
          <w:b/>
          <w:sz w:val="24"/>
          <w:szCs w:val="24"/>
        </w:rPr>
        <w:t>Výpis</w:t>
      </w:r>
      <w:r w:rsidR="00F30755" w:rsidRPr="00802192">
        <w:rPr>
          <w:b/>
          <w:sz w:val="24"/>
          <w:szCs w:val="24"/>
        </w:rPr>
        <w:t>y</w:t>
      </w:r>
      <w:r w:rsidRPr="00802192">
        <w:rPr>
          <w:b/>
          <w:sz w:val="24"/>
          <w:szCs w:val="24"/>
        </w:rPr>
        <w:t xml:space="preserve"> z bankovního účtu, výdajové pokladní doklady </w:t>
      </w:r>
    </w:p>
    <w:p w14:paraId="27C68A4F" w14:textId="629E9DFD" w:rsidR="00203782" w:rsidRDefault="00F30755" w:rsidP="00DD51CE">
      <w:pPr>
        <w:widowControl/>
        <w:spacing w:after="120" w:line="240" w:lineRule="auto"/>
        <w:jc w:val="both"/>
        <w:rPr>
          <w:rFonts w:eastAsia="Calibri"/>
          <w:sz w:val="24"/>
          <w:szCs w:val="24"/>
        </w:rPr>
      </w:pPr>
      <w:r w:rsidRPr="00802192">
        <w:rPr>
          <w:rFonts w:eastAsia="Times New Roman"/>
          <w:sz w:val="24"/>
          <w:szCs w:val="24"/>
        </w:rPr>
        <w:t>Kopie/skeny v</w:t>
      </w:r>
      <w:r w:rsidR="006733FC" w:rsidRPr="00802192">
        <w:rPr>
          <w:rFonts w:eastAsia="Calibri"/>
          <w:sz w:val="24"/>
          <w:szCs w:val="24"/>
        </w:rPr>
        <w:t>ýpis</w:t>
      </w:r>
      <w:r w:rsidRPr="00802192">
        <w:rPr>
          <w:rFonts w:eastAsia="Calibri"/>
          <w:sz w:val="24"/>
          <w:szCs w:val="24"/>
        </w:rPr>
        <w:t>u</w:t>
      </w:r>
      <w:r w:rsidR="002B5F9D">
        <w:rPr>
          <w:rFonts w:eastAsia="Calibri"/>
          <w:sz w:val="24"/>
          <w:szCs w:val="24"/>
        </w:rPr>
        <w:t xml:space="preserve"> </w:t>
      </w:r>
      <w:r w:rsidR="002B5F9D" w:rsidRPr="002F4119">
        <w:rPr>
          <w:rFonts w:eastAsia="Times New Roman"/>
          <w:sz w:val="24"/>
          <w:szCs w:val="24"/>
        </w:rPr>
        <w:t>v případě ubytování nebo výdajů za vzdělávací aktivity</w:t>
      </w:r>
      <w:r w:rsidRPr="00802192">
        <w:rPr>
          <w:rFonts w:eastAsia="Calibri"/>
          <w:sz w:val="24"/>
          <w:szCs w:val="24"/>
        </w:rPr>
        <w:t>, který</w:t>
      </w:r>
      <w:r w:rsidR="006733FC" w:rsidRPr="00802192">
        <w:rPr>
          <w:rFonts w:eastAsia="Calibri"/>
          <w:sz w:val="24"/>
          <w:szCs w:val="24"/>
        </w:rPr>
        <w:t xml:space="preserve"> zobrazuje obraty na bankovním účtu organizace (v případě platby z tohoto účtu) za jednotlivé doklady, s označením těchto plateb, případně </w:t>
      </w:r>
      <w:r w:rsidRPr="00802192">
        <w:rPr>
          <w:rFonts w:eastAsia="Calibri"/>
          <w:sz w:val="24"/>
          <w:szCs w:val="24"/>
        </w:rPr>
        <w:t xml:space="preserve">kopie/skeny </w:t>
      </w:r>
      <w:r w:rsidR="006733FC" w:rsidRPr="00802192">
        <w:rPr>
          <w:rFonts w:eastAsia="Calibri"/>
          <w:sz w:val="24"/>
          <w:szCs w:val="24"/>
        </w:rPr>
        <w:t>výdajov</w:t>
      </w:r>
      <w:r w:rsidRPr="00802192">
        <w:rPr>
          <w:rFonts w:eastAsia="Calibri"/>
          <w:sz w:val="24"/>
          <w:szCs w:val="24"/>
        </w:rPr>
        <w:t>ých</w:t>
      </w:r>
      <w:r w:rsidR="006733FC" w:rsidRPr="00802192">
        <w:rPr>
          <w:rFonts w:eastAsia="Calibri"/>
          <w:sz w:val="24"/>
          <w:szCs w:val="24"/>
        </w:rPr>
        <w:t xml:space="preserve"> pokladní</w:t>
      </w:r>
      <w:r w:rsidRPr="00802192">
        <w:rPr>
          <w:rFonts w:eastAsia="Calibri"/>
          <w:sz w:val="24"/>
          <w:szCs w:val="24"/>
        </w:rPr>
        <w:t>ch</w:t>
      </w:r>
      <w:r w:rsidR="006733FC" w:rsidRPr="00802192">
        <w:rPr>
          <w:rFonts w:eastAsia="Calibri"/>
          <w:sz w:val="24"/>
          <w:szCs w:val="24"/>
        </w:rPr>
        <w:t xml:space="preserve"> doklad</w:t>
      </w:r>
      <w:r w:rsidRPr="00802192">
        <w:rPr>
          <w:rFonts w:eastAsia="Calibri"/>
          <w:sz w:val="24"/>
          <w:szCs w:val="24"/>
        </w:rPr>
        <w:t>ů</w:t>
      </w:r>
      <w:r w:rsidR="006733FC" w:rsidRPr="00802192">
        <w:rPr>
          <w:rFonts w:eastAsia="Calibri"/>
          <w:sz w:val="24"/>
          <w:szCs w:val="24"/>
        </w:rPr>
        <w:t xml:space="preserve">, pokud částka, která je z nich nárokována jakožto výdaj </w:t>
      </w:r>
      <w:r w:rsidR="00802192" w:rsidRPr="00802192">
        <w:rPr>
          <w:rFonts w:eastAsia="Calibri"/>
          <w:sz w:val="24"/>
          <w:szCs w:val="24"/>
        </w:rPr>
        <w:t>Pr</w:t>
      </w:r>
      <w:r w:rsidR="00B0657C" w:rsidRPr="00802192">
        <w:rPr>
          <w:rFonts w:eastAsia="Calibri"/>
          <w:sz w:val="24"/>
          <w:szCs w:val="24"/>
        </w:rPr>
        <w:t>ojekt</w:t>
      </w:r>
      <w:r w:rsidR="006733FC" w:rsidRPr="00802192">
        <w:rPr>
          <w:rFonts w:eastAsia="Calibri"/>
          <w:sz w:val="24"/>
          <w:szCs w:val="24"/>
        </w:rPr>
        <w:t>u, přesa</w:t>
      </w:r>
      <w:r w:rsidR="006733FC" w:rsidRPr="002F4119">
        <w:rPr>
          <w:rFonts w:eastAsia="Calibri"/>
          <w:sz w:val="24"/>
          <w:szCs w:val="24"/>
        </w:rPr>
        <w:t xml:space="preserve">huje </w:t>
      </w:r>
      <w:proofErr w:type="gramStart"/>
      <w:r w:rsidR="006733FC" w:rsidRPr="002F4119">
        <w:rPr>
          <w:rFonts w:eastAsia="Calibri"/>
          <w:sz w:val="24"/>
          <w:szCs w:val="24"/>
        </w:rPr>
        <w:t>10.000</w:t>
      </w:r>
      <w:r w:rsidR="00C01FDB">
        <w:rPr>
          <w:rFonts w:eastAsia="Calibri"/>
          <w:sz w:val="24"/>
          <w:szCs w:val="24"/>
        </w:rPr>
        <w:t>,-</w:t>
      </w:r>
      <w:proofErr w:type="gramEnd"/>
      <w:r w:rsidR="006733FC" w:rsidRPr="002F4119">
        <w:rPr>
          <w:rFonts w:eastAsia="Calibri"/>
          <w:sz w:val="24"/>
          <w:szCs w:val="24"/>
        </w:rPr>
        <w:t xml:space="preserve"> Kč. </w:t>
      </w:r>
      <w:r w:rsidR="002B5F9D">
        <w:rPr>
          <w:rFonts w:eastAsia="Calibri"/>
          <w:sz w:val="24"/>
          <w:szCs w:val="24"/>
        </w:rPr>
        <w:t>Doložení bankovních výpisů, příp. výdajových pokladních dokladů</w:t>
      </w:r>
      <w:r w:rsidR="002B5F9D" w:rsidRPr="00802192">
        <w:rPr>
          <w:rFonts w:eastAsia="Calibri"/>
          <w:sz w:val="24"/>
          <w:szCs w:val="24"/>
        </w:rPr>
        <w:t xml:space="preserve"> se netýká mzdových/platových příspěvků. </w:t>
      </w:r>
    </w:p>
    <w:p w14:paraId="416E4D15" w14:textId="0030EE14" w:rsidR="00F72D2F" w:rsidRDefault="00F72D2F"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xml:space="preserve"> tištěné </w:t>
      </w:r>
      <w:r w:rsidR="00BC0257">
        <w:rPr>
          <w:rFonts w:eastAsia="Calibri"/>
          <w:sz w:val="24"/>
          <w:szCs w:val="24"/>
        </w:rPr>
        <w:t xml:space="preserve">(prostá kopie) </w:t>
      </w:r>
      <w:r>
        <w:rPr>
          <w:rFonts w:eastAsia="Calibri"/>
          <w:sz w:val="24"/>
          <w:szCs w:val="24"/>
        </w:rPr>
        <w:t>nebo elektronické podobě (</w:t>
      </w:r>
      <w:proofErr w:type="spellStart"/>
      <w:r>
        <w:rPr>
          <w:rFonts w:eastAsia="Calibri"/>
          <w:sz w:val="24"/>
          <w:szCs w:val="24"/>
        </w:rPr>
        <w:t>pdf</w:t>
      </w:r>
      <w:proofErr w:type="spellEnd"/>
      <w:r>
        <w:rPr>
          <w:rFonts w:eastAsia="Calibri"/>
          <w:sz w:val="24"/>
          <w:szCs w:val="24"/>
        </w:rPr>
        <w:t>).</w:t>
      </w:r>
    </w:p>
    <w:p w14:paraId="04090949" w14:textId="796AF6D9" w:rsidR="00FA2DF8" w:rsidRDefault="00FA2DF8" w:rsidP="00DD51CE">
      <w:pPr>
        <w:widowControl/>
        <w:spacing w:after="120" w:line="240" w:lineRule="auto"/>
        <w:jc w:val="both"/>
        <w:rPr>
          <w:rFonts w:eastAsia="Calibri"/>
          <w:sz w:val="24"/>
          <w:szCs w:val="24"/>
          <w:highlight w:val="yellow"/>
        </w:rPr>
      </w:pPr>
      <w:r w:rsidRPr="002F4119">
        <w:rPr>
          <w:rFonts w:eastAsia="Calibri"/>
          <w:sz w:val="24"/>
          <w:szCs w:val="24"/>
        </w:rPr>
        <w:t xml:space="preserve">Příjemce </w:t>
      </w:r>
      <w:r w:rsidRPr="00B8448E">
        <w:rPr>
          <w:rFonts w:eastAsia="Calibri"/>
          <w:sz w:val="24"/>
          <w:szCs w:val="24"/>
        </w:rPr>
        <w:t>uchovává originály</w:t>
      </w:r>
      <w:r w:rsidR="00F30755" w:rsidRPr="00B8448E">
        <w:rPr>
          <w:rFonts w:eastAsia="Calibri"/>
          <w:sz w:val="24"/>
          <w:szCs w:val="24"/>
        </w:rPr>
        <w:t xml:space="preserve">, příp. </w:t>
      </w:r>
      <w:r w:rsidRPr="00B8448E">
        <w:rPr>
          <w:rFonts w:eastAsia="Calibri"/>
          <w:sz w:val="24"/>
          <w:szCs w:val="24"/>
        </w:rPr>
        <w:t>kopie.</w:t>
      </w:r>
    </w:p>
    <w:p w14:paraId="65E36FBF" w14:textId="325E0FC0" w:rsidR="00BC0257" w:rsidRPr="00802192" w:rsidRDefault="00BC0257" w:rsidP="00BC0257">
      <w:pPr>
        <w:widowControl/>
        <w:spacing w:after="120" w:line="240" w:lineRule="auto"/>
        <w:jc w:val="both"/>
        <w:rPr>
          <w:rFonts w:eastAsia="Calibri"/>
          <w:sz w:val="24"/>
          <w:szCs w:val="24"/>
        </w:rPr>
      </w:pPr>
      <w:r>
        <w:rPr>
          <w:rFonts w:eastAsia="Calibri"/>
          <w:sz w:val="24"/>
          <w:szCs w:val="24"/>
        </w:rPr>
        <w:lastRenderedPageBreak/>
        <w:t xml:space="preserve">Předmětem kontroly na místě </w:t>
      </w:r>
      <w:r w:rsidR="00B8448E">
        <w:rPr>
          <w:rFonts w:eastAsia="Calibri"/>
          <w:sz w:val="24"/>
          <w:szCs w:val="24"/>
        </w:rPr>
        <w:t>mohou být</w:t>
      </w:r>
      <w:r>
        <w:rPr>
          <w:rFonts w:eastAsia="Calibri"/>
          <w:sz w:val="24"/>
          <w:szCs w:val="24"/>
        </w:rPr>
        <w:t xml:space="preserve"> </w:t>
      </w:r>
      <w:r w:rsidR="00B8448E">
        <w:rPr>
          <w:rFonts w:eastAsia="Calibri"/>
          <w:sz w:val="24"/>
          <w:szCs w:val="24"/>
        </w:rPr>
        <w:t>i</w:t>
      </w:r>
      <w:r>
        <w:rPr>
          <w:rFonts w:eastAsia="Calibri"/>
          <w:sz w:val="24"/>
          <w:szCs w:val="24"/>
        </w:rPr>
        <w:t xml:space="preserve"> výpisy výdajů</w:t>
      </w:r>
      <w:r w:rsidR="002B5F9D">
        <w:rPr>
          <w:rFonts w:eastAsia="Calibri"/>
          <w:sz w:val="24"/>
          <w:szCs w:val="24"/>
        </w:rPr>
        <w:t xml:space="preserve"> a výdajové pokladní doklady</w:t>
      </w:r>
      <w:r>
        <w:rPr>
          <w:rFonts w:eastAsia="Calibri"/>
          <w:sz w:val="24"/>
          <w:szCs w:val="24"/>
        </w:rPr>
        <w:t xml:space="preserve"> do </w:t>
      </w:r>
      <w:proofErr w:type="gramStart"/>
      <w:r>
        <w:rPr>
          <w:rFonts w:eastAsia="Calibri"/>
          <w:sz w:val="24"/>
          <w:szCs w:val="24"/>
        </w:rPr>
        <w:t>10.000,-</w:t>
      </w:r>
      <w:proofErr w:type="gramEnd"/>
      <w:r>
        <w:rPr>
          <w:rFonts w:eastAsia="Calibri"/>
          <w:sz w:val="24"/>
          <w:szCs w:val="24"/>
        </w:rPr>
        <w:t xml:space="preserve"> Kč</w:t>
      </w:r>
      <w:r w:rsidR="002B5F9D">
        <w:rPr>
          <w:rFonts w:eastAsia="Calibri"/>
          <w:sz w:val="24"/>
          <w:szCs w:val="24"/>
        </w:rPr>
        <w:t xml:space="preserve"> a bankovní výpisy, příp. výdajové pokladní doklady týkající se mzdových/platových příspěvků</w:t>
      </w:r>
      <w:r>
        <w:rPr>
          <w:rFonts w:eastAsia="Calibri"/>
          <w:sz w:val="24"/>
          <w:szCs w:val="24"/>
        </w:rPr>
        <w:t>.</w:t>
      </w:r>
    </w:p>
    <w:p w14:paraId="2EC3DB8C" w14:textId="77777777" w:rsidR="00FA2DF8" w:rsidRPr="002F4119" w:rsidRDefault="00FA2DF8" w:rsidP="00DD51CE">
      <w:pPr>
        <w:widowControl/>
        <w:spacing w:after="120" w:line="240" w:lineRule="auto"/>
        <w:jc w:val="both"/>
        <w:rPr>
          <w:rFonts w:eastAsia="Calibri"/>
          <w:sz w:val="24"/>
          <w:szCs w:val="24"/>
        </w:rPr>
      </w:pPr>
    </w:p>
    <w:p w14:paraId="4FDD3DBB" w14:textId="07420901" w:rsidR="004255D9" w:rsidRPr="002F4119" w:rsidRDefault="00F30755" w:rsidP="00402FBE">
      <w:pPr>
        <w:numPr>
          <w:ilvl w:val="0"/>
          <w:numId w:val="18"/>
        </w:numPr>
        <w:spacing w:after="120" w:line="240" w:lineRule="auto"/>
        <w:ind w:left="567" w:hanging="567"/>
        <w:rPr>
          <w:b/>
          <w:sz w:val="24"/>
          <w:szCs w:val="24"/>
        </w:rPr>
      </w:pPr>
      <w:r>
        <w:rPr>
          <w:b/>
          <w:sz w:val="24"/>
          <w:szCs w:val="24"/>
        </w:rPr>
        <w:t>V</w:t>
      </w:r>
      <w:r w:rsidR="006733FC" w:rsidRPr="002F4119">
        <w:rPr>
          <w:b/>
          <w:sz w:val="24"/>
          <w:szCs w:val="24"/>
        </w:rPr>
        <w:t>ýkaz</w:t>
      </w:r>
      <w:r>
        <w:rPr>
          <w:b/>
          <w:sz w:val="24"/>
          <w:szCs w:val="24"/>
        </w:rPr>
        <w:t>y</w:t>
      </w:r>
      <w:r w:rsidR="006733FC" w:rsidRPr="002F4119">
        <w:rPr>
          <w:b/>
          <w:sz w:val="24"/>
          <w:szCs w:val="24"/>
        </w:rPr>
        <w:t xml:space="preserve"> účasti na specializačním vzdělávání </w:t>
      </w:r>
    </w:p>
    <w:p w14:paraId="759603F9" w14:textId="10553DC5" w:rsidR="004255D9" w:rsidRPr="002F4119" w:rsidRDefault="006733FC" w:rsidP="00DD51CE">
      <w:pPr>
        <w:widowControl/>
        <w:pBdr>
          <w:top w:val="nil"/>
          <w:left w:val="nil"/>
          <w:bottom w:val="nil"/>
          <w:right w:val="nil"/>
          <w:between w:val="nil"/>
        </w:pBdr>
        <w:spacing w:after="120" w:line="240" w:lineRule="auto"/>
        <w:jc w:val="both"/>
        <w:rPr>
          <w:rFonts w:eastAsia="Calibri"/>
          <w:sz w:val="24"/>
          <w:szCs w:val="24"/>
        </w:rPr>
      </w:pPr>
      <w:r w:rsidRPr="002F4119">
        <w:rPr>
          <w:rFonts w:eastAsia="Calibri"/>
          <w:sz w:val="24"/>
          <w:szCs w:val="24"/>
        </w:rPr>
        <w:t xml:space="preserve">Kopie/skeny výkazů účasti na specializačním vzdělávání </w:t>
      </w:r>
      <w:r w:rsidR="006A2886">
        <w:rPr>
          <w:rFonts w:eastAsia="Calibri"/>
          <w:sz w:val="24"/>
          <w:szCs w:val="24"/>
        </w:rPr>
        <w:t xml:space="preserve">(viz příloha Metodiky č. 13) </w:t>
      </w:r>
      <w:r w:rsidRPr="002F4119">
        <w:rPr>
          <w:rFonts w:eastAsia="Calibri"/>
          <w:sz w:val="24"/>
          <w:szCs w:val="24"/>
        </w:rPr>
        <w:t xml:space="preserve">s podpisem osoby oprávněné potvrdit správnost údajů ohledně praxe </w:t>
      </w:r>
      <w:r w:rsidR="00FA2DF8" w:rsidRPr="002F4119">
        <w:rPr>
          <w:rFonts w:eastAsia="Calibri"/>
          <w:sz w:val="24"/>
          <w:szCs w:val="24"/>
        </w:rPr>
        <w:t xml:space="preserve">– </w:t>
      </w:r>
      <w:r w:rsidRPr="002F4119">
        <w:rPr>
          <w:rFonts w:eastAsia="Calibri"/>
          <w:sz w:val="24"/>
          <w:szCs w:val="24"/>
        </w:rPr>
        <w:t>nejlépe odborného garanta a dále s</w:t>
      </w:r>
      <w:r w:rsidR="001918D6" w:rsidRPr="002F4119">
        <w:rPr>
          <w:rFonts w:eastAsia="Calibri"/>
          <w:sz w:val="24"/>
          <w:szCs w:val="24"/>
        </w:rPr>
        <w:t xml:space="preserve"> podpisem osoby oprávněné potvrdit správnost </w:t>
      </w:r>
      <w:r w:rsidRPr="002F4119">
        <w:rPr>
          <w:rFonts w:eastAsia="Calibri"/>
          <w:sz w:val="24"/>
          <w:szCs w:val="24"/>
        </w:rPr>
        <w:t xml:space="preserve">údajů za celou účast na specializačním vzdělávání v daném měsíci </w:t>
      </w:r>
      <w:r w:rsidR="001844C2" w:rsidRPr="002F4119">
        <w:rPr>
          <w:rFonts w:eastAsia="Calibri"/>
          <w:sz w:val="24"/>
          <w:szCs w:val="24"/>
        </w:rPr>
        <w:t>–</w:t>
      </w:r>
      <w:r w:rsidRPr="002F4119">
        <w:rPr>
          <w:rFonts w:eastAsia="Calibri"/>
          <w:sz w:val="24"/>
          <w:szCs w:val="24"/>
        </w:rPr>
        <w:t xml:space="preserve"> nejlépe </w:t>
      </w:r>
      <w:r w:rsidR="00F30755">
        <w:rPr>
          <w:rFonts w:eastAsia="Calibri"/>
          <w:sz w:val="24"/>
          <w:szCs w:val="24"/>
        </w:rPr>
        <w:t xml:space="preserve">účastníkova </w:t>
      </w:r>
      <w:r w:rsidRPr="002F4119">
        <w:rPr>
          <w:rFonts w:eastAsia="Calibri"/>
          <w:sz w:val="24"/>
          <w:szCs w:val="24"/>
        </w:rPr>
        <w:t>nadřízeného</w:t>
      </w:r>
      <w:r w:rsidR="00F30755">
        <w:rPr>
          <w:rFonts w:eastAsia="Calibri"/>
          <w:sz w:val="24"/>
          <w:szCs w:val="24"/>
        </w:rPr>
        <w:t>.</w:t>
      </w:r>
    </w:p>
    <w:p w14:paraId="17236DE2" w14:textId="4697EB9F" w:rsidR="004255D9" w:rsidRPr="00DD51CE" w:rsidRDefault="006733FC" w:rsidP="00DD51CE">
      <w:pPr>
        <w:widowControl/>
        <w:pBdr>
          <w:top w:val="nil"/>
          <w:left w:val="nil"/>
          <w:bottom w:val="nil"/>
          <w:right w:val="nil"/>
          <w:between w:val="nil"/>
        </w:pBdr>
        <w:spacing w:after="120" w:line="240" w:lineRule="auto"/>
        <w:jc w:val="both"/>
        <w:rPr>
          <w:rFonts w:eastAsia="Calibri"/>
          <w:sz w:val="24"/>
          <w:szCs w:val="24"/>
        </w:rPr>
      </w:pPr>
      <w:r w:rsidRPr="002F4119">
        <w:rPr>
          <w:rFonts w:eastAsia="Calibri"/>
          <w:sz w:val="24"/>
          <w:szCs w:val="24"/>
        </w:rPr>
        <w:t>Počet hodin vzdělávacích aktivit uvedených v tomto výkazu musí odpovídat době vzdělávání</w:t>
      </w:r>
      <w:r w:rsidR="00171E05" w:rsidRPr="002F4119">
        <w:rPr>
          <w:rFonts w:eastAsia="Calibri"/>
          <w:sz w:val="24"/>
          <w:szCs w:val="24"/>
        </w:rPr>
        <w:t xml:space="preserve"> (viz kapitola 2.2</w:t>
      </w:r>
      <w:r w:rsidR="00FF493F">
        <w:rPr>
          <w:rFonts w:eastAsia="Calibri"/>
          <w:sz w:val="24"/>
          <w:szCs w:val="24"/>
        </w:rPr>
        <w:t xml:space="preserve"> tohoto Metodického pokynu</w:t>
      </w:r>
      <w:r w:rsidR="00171E05" w:rsidRPr="002F4119">
        <w:rPr>
          <w:rFonts w:eastAsia="Calibri"/>
          <w:sz w:val="24"/>
          <w:szCs w:val="24"/>
        </w:rPr>
        <w:t>)</w:t>
      </w:r>
      <w:r w:rsidRPr="002F4119">
        <w:rPr>
          <w:rFonts w:eastAsia="Calibri"/>
          <w:sz w:val="24"/>
          <w:szCs w:val="24"/>
        </w:rPr>
        <w:t xml:space="preserve"> a musí korespondovat s</w:t>
      </w:r>
      <w:r w:rsidR="00FF493F">
        <w:rPr>
          <w:rFonts w:eastAsia="Calibri"/>
          <w:sz w:val="24"/>
          <w:szCs w:val="24"/>
        </w:rPr>
        <w:t> </w:t>
      </w:r>
      <w:r w:rsidRPr="002F4119">
        <w:rPr>
          <w:rFonts w:eastAsia="Calibri"/>
          <w:sz w:val="24"/>
          <w:szCs w:val="24"/>
        </w:rPr>
        <w:t>Vyúčtováním</w:t>
      </w:r>
      <w:r w:rsidRPr="002F4119">
        <w:rPr>
          <w:rFonts w:eastAsia="Calibri"/>
          <w:sz w:val="24"/>
          <w:szCs w:val="24"/>
          <w:vertAlign w:val="superscript"/>
        </w:rPr>
        <w:footnoteReference w:id="35"/>
      </w:r>
      <w:r w:rsidRPr="002F4119">
        <w:rPr>
          <w:rFonts w:eastAsia="Calibri"/>
          <w:sz w:val="24"/>
          <w:szCs w:val="24"/>
        </w:rPr>
        <w:t>.</w:t>
      </w:r>
      <w:r w:rsidR="00BC5C4B" w:rsidRPr="00DD51CE">
        <w:rPr>
          <w:rFonts w:eastAsia="Calibri"/>
          <w:sz w:val="24"/>
          <w:szCs w:val="24"/>
        </w:rPr>
        <w:t xml:space="preserve"> </w:t>
      </w:r>
    </w:p>
    <w:p w14:paraId="046F1AA6" w14:textId="6958B2E2" w:rsidR="00BC0257" w:rsidRDefault="00BC0257"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tištěné (prostá kopie) nebo elektronické podobě (</w:t>
      </w:r>
      <w:proofErr w:type="spellStart"/>
      <w:r>
        <w:rPr>
          <w:rFonts w:eastAsia="Calibri"/>
          <w:sz w:val="24"/>
          <w:szCs w:val="24"/>
        </w:rPr>
        <w:t>pdf</w:t>
      </w:r>
      <w:proofErr w:type="spellEnd"/>
      <w:r>
        <w:rPr>
          <w:rFonts w:eastAsia="Calibri"/>
          <w:sz w:val="24"/>
          <w:szCs w:val="24"/>
        </w:rPr>
        <w:t>).</w:t>
      </w:r>
    </w:p>
    <w:p w14:paraId="11210990" w14:textId="3B789807" w:rsidR="00B8448E" w:rsidRDefault="00B8448E" w:rsidP="00DD51CE">
      <w:pPr>
        <w:widowControl/>
        <w:pBdr>
          <w:top w:val="nil"/>
          <w:left w:val="nil"/>
          <w:bottom w:val="nil"/>
          <w:right w:val="nil"/>
          <w:between w:val="nil"/>
        </w:pBdr>
        <w:spacing w:after="120" w:line="240" w:lineRule="auto"/>
        <w:jc w:val="both"/>
        <w:rPr>
          <w:rFonts w:eastAsia="Calibri"/>
          <w:sz w:val="24"/>
          <w:szCs w:val="24"/>
        </w:rPr>
      </w:pPr>
      <w:r w:rsidRPr="002F4119">
        <w:rPr>
          <w:rFonts w:eastAsia="Calibri"/>
          <w:sz w:val="24"/>
          <w:szCs w:val="24"/>
        </w:rPr>
        <w:t xml:space="preserve">Příjemce </w:t>
      </w:r>
      <w:r w:rsidRPr="00B8448E">
        <w:rPr>
          <w:rFonts w:eastAsia="Calibri"/>
          <w:sz w:val="24"/>
          <w:szCs w:val="24"/>
        </w:rPr>
        <w:t>uchovává originály</w:t>
      </w:r>
      <w:r>
        <w:rPr>
          <w:rFonts w:eastAsia="Calibri"/>
          <w:sz w:val="24"/>
          <w:szCs w:val="24"/>
        </w:rPr>
        <w:t xml:space="preserve">. </w:t>
      </w:r>
    </w:p>
    <w:p w14:paraId="0ACBD97E" w14:textId="77777777" w:rsidR="00FA2DF8" w:rsidRPr="00DD51CE" w:rsidRDefault="00FA2DF8" w:rsidP="00DD51CE">
      <w:pPr>
        <w:widowControl/>
        <w:pBdr>
          <w:top w:val="nil"/>
          <w:left w:val="nil"/>
          <w:bottom w:val="nil"/>
          <w:right w:val="nil"/>
          <w:between w:val="nil"/>
        </w:pBdr>
        <w:spacing w:after="120" w:line="240" w:lineRule="auto"/>
        <w:jc w:val="both"/>
        <w:rPr>
          <w:rFonts w:eastAsia="Calibri"/>
          <w:sz w:val="24"/>
          <w:szCs w:val="24"/>
        </w:rPr>
      </w:pPr>
    </w:p>
    <w:p w14:paraId="3D701E83" w14:textId="76B7230F" w:rsidR="004255D9" w:rsidRPr="00402FBE" w:rsidRDefault="00F30755" w:rsidP="00402FBE">
      <w:pPr>
        <w:numPr>
          <w:ilvl w:val="0"/>
          <w:numId w:val="18"/>
        </w:numPr>
        <w:spacing w:after="120" w:line="240" w:lineRule="auto"/>
        <w:ind w:left="567" w:hanging="567"/>
        <w:rPr>
          <w:b/>
          <w:sz w:val="24"/>
          <w:szCs w:val="24"/>
        </w:rPr>
      </w:pPr>
      <w:r>
        <w:rPr>
          <w:b/>
          <w:sz w:val="24"/>
          <w:szCs w:val="24"/>
        </w:rPr>
        <w:t>Průkaz odbornost</w:t>
      </w:r>
      <w:r w:rsidR="00A519B4">
        <w:rPr>
          <w:b/>
          <w:sz w:val="24"/>
          <w:szCs w:val="24"/>
        </w:rPr>
        <w:t>i</w:t>
      </w:r>
      <w:r>
        <w:rPr>
          <w:b/>
          <w:sz w:val="24"/>
          <w:szCs w:val="24"/>
        </w:rPr>
        <w:t xml:space="preserve"> /</w:t>
      </w:r>
      <w:r w:rsidR="006733FC" w:rsidRPr="00402FBE">
        <w:rPr>
          <w:b/>
          <w:sz w:val="24"/>
          <w:szCs w:val="24"/>
        </w:rPr>
        <w:t xml:space="preserve"> </w:t>
      </w:r>
      <w:proofErr w:type="spellStart"/>
      <w:r w:rsidR="006733FC" w:rsidRPr="00402FBE">
        <w:rPr>
          <w:b/>
          <w:sz w:val="24"/>
          <w:szCs w:val="24"/>
        </w:rPr>
        <w:t>logbook</w:t>
      </w:r>
      <w:proofErr w:type="spellEnd"/>
      <w:r w:rsidR="006733FC" w:rsidRPr="00402FBE">
        <w:rPr>
          <w:b/>
          <w:sz w:val="24"/>
          <w:szCs w:val="24"/>
        </w:rPr>
        <w:t xml:space="preserve"> </w:t>
      </w:r>
    </w:p>
    <w:p w14:paraId="114F62B5" w14:textId="25BF2B35" w:rsidR="004255D9" w:rsidRPr="002F4119" w:rsidRDefault="00F30755" w:rsidP="00DD51CE">
      <w:pPr>
        <w:widowControl/>
        <w:spacing w:after="120" w:line="240" w:lineRule="auto"/>
        <w:jc w:val="both"/>
        <w:rPr>
          <w:rFonts w:eastAsia="Calibri"/>
          <w:sz w:val="24"/>
          <w:szCs w:val="24"/>
        </w:rPr>
      </w:pPr>
      <w:r>
        <w:rPr>
          <w:rFonts w:eastAsia="Calibri"/>
          <w:sz w:val="24"/>
          <w:szCs w:val="24"/>
        </w:rPr>
        <w:t xml:space="preserve">Kopie/sken </w:t>
      </w:r>
      <w:r w:rsidR="00A519B4" w:rsidRPr="002F4119">
        <w:rPr>
          <w:rFonts w:eastAsia="Calibri"/>
          <w:sz w:val="24"/>
          <w:szCs w:val="24"/>
        </w:rPr>
        <w:t xml:space="preserve">průkazu odbornosti </w:t>
      </w:r>
      <w:r w:rsidR="00A519B4">
        <w:rPr>
          <w:rFonts w:eastAsia="Calibri"/>
          <w:sz w:val="24"/>
          <w:szCs w:val="24"/>
        </w:rPr>
        <w:t xml:space="preserve">/ </w:t>
      </w:r>
      <w:proofErr w:type="spellStart"/>
      <w:r w:rsidR="00A519B4" w:rsidRPr="002F4119">
        <w:rPr>
          <w:rFonts w:eastAsia="Calibri"/>
          <w:sz w:val="24"/>
          <w:szCs w:val="24"/>
        </w:rPr>
        <w:t>logbooku</w:t>
      </w:r>
      <w:proofErr w:type="spellEnd"/>
      <w:r w:rsidR="00A519B4">
        <w:rPr>
          <w:rFonts w:eastAsia="Calibri"/>
          <w:sz w:val="24"/>
          <w:szCs w:val="24"/>
        </w:rPr>
        <w:t>, v</w:t>
      </w:r>
      <w:r w:rsidR="006733FC" w:rsidRPr="002F4119">
        <w:rPr>
          <w:rFonts w:eastAsia="Calibri"/>
          <w:sz w:val="24"/>
          <w:szCs w:val="24"/>
        </w:rPr>
        <w:t xml:space="preserve"> případě, že vzdělávací aktivita </w:t>
      </w:r>
      <w:r w:rsidR="00535A03">
        <w:rPr>
          <w:rFonts w:eastAsia="Calibri"/>
          <w:sz w:val="24"/>
          <w:szCs w:val="24"/>
        </w:rPr>
        <w:t>P</w:t>
      </w:r>
      <w:r w:rsidR="00B0657C" w:rsidRPr="002F4119">
        <w:rPr>
          <w:rFonts w:eastAsia="Calibri"/>
          <w:sz w:val="24"/>
          <w:szCs w:val="24"/>
        </w:rPr>
        <w:t>rojekt</w:t>
      </w:r>
      <w:r w:rsidR="006733FC" w:rsidRPr="002F4119">
        <w:rPr>
          <w:rFonts w:eastAsia="Calibri"/>
          <w:sz w:val="24"/>
          <w:szCs w:val="24"/>
        </w:rPr>
        <w:t xml:space="preserve">u byla absolvována či byl o ní do </w:t>
      </w:r>
      <w:r w:rsidR="00A519B4">
        <w:rPr>
          <w:rFonts w:eastAsia="Calibri"/>
          <w:sz w:val="24"/>
          <w:szCs w:val="24"/>
        </w:rPr>
        <w:t xml:space="preserve">dokumentu </w:t>
      </w:r>
      <w:r w:rsidR="006733FC" w:rsidRPr="002F4119">
        <w:rPr>
          <w:rFonts w:eastAsia="Calibri"/>
          <w:sz w:val="24"/>
          <w:szCs w:val="24"/>
        </w:rPr>
        <w:t>učiněn záznam, s označením příslušných záznamů.</w:t>
      </w:r>
    </w:p>
    <w:p w14:paraId="1B7DEC07" w14:textId="48336E23" w:rsidR="00BC0257" w:rsidRPr="00B8448E" w:rsidRDefault="00BC0257" w:rsidP="00DD0686">
      <w:pPr>
        <w:widowControl/>
        <w:pBdr>
          <w:top w:val="nil"/>
          <w:left w:val="nil"/>
          <w:bottom w:val="nil"/>
          <w:right w:val="nil"/>
          <w:between w:val="nil"/>
        </w:pBdr>
        <w:spacing w:after="120" w:line="240" w:lineRule="auto"/>
        <w:jc w:val="both"/>
        <w:rPr>
          <w:rFonts w:eastAsia="Calibri"/>
          <w:sz w:val="24"/>
          <w:szCs w:val="24"/>
        </w:rPr>
      </w:pPr>
      <w:r w:rsidRPr="00B8448E">
        <w:rPr>
          <w:rFonts w:eastAsia="Calibri"/>
          <w:sz w:val="24"/>
          <w:szCs w:val="24"/>
        </w:rPr>
        <w:t>Typ podání:</w:t>
      </w:r>
      <w:r w:rsidR="00DD0686" w:rsidRPr="00B8448E">
        <w:rPr>
          <w:rFonts w:eastAsia="Calibri"/>
          <w:sz w:val="24"/>
          <w:szCs w:val="24"/>
        </w:rPr>
        <w:t xml:space="preserve"> v</w:t>
      </w:r>
      <w:r w:rsidRPr="00B8448E">
        <w:rPr>
          <w:rFonts w:eastAsia="Calibri"/>
          <w:sz w:val="24"/>
          <w:szCs w:val="24"/>
        </w:rPr>
        <w:t> tištěné (prostá kopie) nebo elektronické podobě (</w:t>
      </w:r>
      <w:proofErr w:type="spellStart"/>
      <w:r w:rsidRPr="00B8448E">
        <w:rPr>
          <w:rFonts w:eastAsia="Calibri"/>
          <w:sz w:val="24"/>
          <w:szCs w:val="24"/>
        </w:rPr>
        <w:t>pdf</w:t>
      </w:r>
      <w:proofErr w:type="spellEnd"/>
      <w:r w:rsidRPr="00B8448E">
        <w:rPr>
          <w:rFonts w:eastAsia="Calibri"/>
          <w:sz w:val="24"/>
          <w:szCs w:val="24"/>
        </w:rPr>
        <w:t>).</w:t>
      </w:r>
    </w:p>
    <w:p w14:paraId="2D8A6870" w14:textId="355334E1" w:rsidR="004255D9" w:rsidRDefault="00FA2DF8" w:rsidP="00DD51CE">
      <w:pPr>
        <w:widowControl/>
        <w:spacing w:after="120" w:line="240" w:lineRule="auto"/>
        <w:jc w:val="both"/>
        <w:rPr>
          <w:rFonts w:eastAsia="Calibri"/>
          <w:sz w:val="24"/>
          <w:szCs w:val="24"/>
        </w:rPr>
      </w:pPr>
      <w:r w:rsidRPr="00B8448E">
        <w:rPr>
          <w:rFonts w:eastAsia="Calibri"/>
          <w:sz w:val="24"/>
          <w:szCs w:val="24"/>
        </w:rPr>
        <w:t xml:space="preserve">Příjemce uchovává </w:t>
      </w:r>
      <w:r w:rsidR="00BC0257" w:rsidRPr="00B8448E">
        <w:rPr>
          <w:rFonts w:eastAsia="Calibri"/>
          <w:sz w:val="24"/>
          <w:szCs w:val="24"/>
        </w:rPr>
        <w:t xml:space="preserve">prostou </w:t>
      </w:r>
      <w:r w:rsidR="002F4119" w:rsidRPr="00B8448E">
        <w:rPr>
          <w:rFonts w:eastAsia="Calibri"/>
          <w:sz w:val="24"/>
          <w:szCs w:val="24"/>
        </w:rPr>
        <w:t>k</w:t>
      </w:r>
      <w:r w:rsidR="006733FC" w:rsidRPr="00B8448E">
        <w:rPr>
          <w:rFonts w:eastAsia="Calibri"/>
          <w:sz w:val="24"/>
          <w:szCs w:val="24"/>
        </w:rPr>
        <w:t>opi</w:t>
      </w:r>
      <w:r w:rsidR="00BC0257" w:rsidRPr="00B8448E">
        <w:rPr>
          <w:rFonts w:eastAsia="Calibri"/>
          <w:sz w:val="24"/>
          <w:szCs w:val="24"/>
        </w:rPr>
        <w:t xml:space="preserve">i, originál má účastník </w:t>
      </w:r>
      <w:r w:rsidR="00B8448E" w:rsidRPr="00B8448E">
        <w:rPr>
          <w:rFonts w:eastAsia="Calibri"/>
          <w:sz w:val="24"/>
          <w:szCs w:val="24"/>
        </w:rPr>
        <w:t xml:space="preserve">specializačního </w:t>
      </w:r>
      <w:r w:rsidR="00BC0257" w:rsidRPr="00B8448E">
        <w:rPr>
          <w:rFonts w:eastAsia="Calibri"/>
          <w:sz w:val="24"/>
          <w:szCs w:val="24"/>
        </w:rPr>
        <w:t>vzdělávání</w:t>
      </w:r>
      <w:r w:rsidR="006733FC" w:rsidRPr="00B8448E">
        <w:rPr>
          <w:rFonts w:eastAsia="Calibri"/>
          <w:sz w:val="24"/>
          <w:szCs w:val="24"/>
        </w:rPr>
        <w:t>.</w:t>
      </w:r>
      <w:r w:rsidR="006733FC" w:rsidRPr="00DD51CE">
        <w:rPr>
          <w:rFonts w:eastAsia="Calibri"/>
          <w:sz w:val="24"/>
          <w:szCs w:val="24"/>
        </w:rPr>
        <w:t xml:space="preserve"> </w:t>
      </w:r>
    </w:p>
    <w:p w14:paraId="6E6BB432" w14:textId="77777777" w:rsidR="00115032" w:rsidRDefault="00115032" w:rsidP="00DD51CE">
      <w:pPr>
        <w:widowControl/>
        <w:spacing w:after="120" w:line="240" w:lineRule="auto"/>
        <w:jc w:val="both"/>
        <w:rPr>
          <w:rFonts w:eastAsia="Calibri"/>
          <w:sz w:val="24"/>
          <w:szCs w:val="24"/>
        </w:rPr>
      </w:pPr>
    </w:p>
    <w:p w14:paraId="37F57CB7" w14:textId="77777777" w:rsidR="00115032" w:rsidRPr="00402FBE" w:rsidRDefault="00115032" w:rsidP="00115032">
      <w:pPr>
        <w:numPr>
          <w:ilvl w:val="0"/>
          <w:numId w:val="18"/>
        </w:numPr>
        <w:spacing w:after="120" w:line="240" w:lineRule="auto"/>
        <w:ind w:left="567" w:hanging="567"/>
        <w:rPr>
          <w:b/>
          <w:sz w:val="24"/>
          <w:szCs w:val="24"/>
        </w:rPr>
      </w:pPr>
      <w:r w:rsidRPr="00DD51CE">
        <w:rPr>
          <w:b/>
          <w:sz w:val="24"/>
          <w:szCs w:val="24"/>
        </w:rPr>
        <w:t>Podklady k publicitě</w:t>
      </w:r>
    </w:p>
    <w:p w14:paraId="5FBE5D08" w14:textId="26A43698" w:rsidR="00115032" w:rsidRDefault="003A552B" w:rsidP="00DD0686">
      <w:pPr>
        <w:spacing w:after="120" w:line="240" w:lineRule="auto"/>
        <w:jc w:val="both"/>
        <w:rPr>
          <w:sz w:val="24"/>
          <w:szCs w:val="24"/>
        </w:rPr>
      </w:pPr>
      <w:r>
        <w:rPr>
          <w:sz w:val="24"/>
          <w:szCs w:val="24"/>
        </w:rPr>
        <w:t>F</w:t>
      </w:r>
      <w:r w:rsidR="00115032" w:rsidRPr="00DD51CE">
        <w:rPr>
          <w:sz w:val="24"/>
          <w:szCs w:val="24"/>
        </w:rPr>
        <w:t>otodokumentac</w:t>
      </w:r>
      <w:r>
        <w:rPr>
          <w:sz w:val="24"/>
          <w:szCs w:val="24"/>
        </w:rPr>
        <w:t>e</w:t>
      </w:r>
      <w:r w:rsidR="00A67045">
        <w:rPr>
          <w:sz w:val="24"/>
          <w:szCs w:val="24"/>
        </w:rPr>
        <w:t xml:space="preserve"> </w:t>
      </w:r>
      <w:r w:rsidR="00115032" w:rsidRPr="00DD51CE">
        <w:rPr>
          <w:sz w:val="24"/>
          <w:szCs w:val="24"/>
        </w:rPr>
        <w:t xml:space="preserve">umístění povinného </w:t>
      </w:r>
      <w:r w:rsidR="00115032" w:rsidRPr="003A552B">
        <w:rPr>
          <w:sz w:val="24"/>
          <w:szCs w:val="24"/>
        </w:rPr>
        <w:t>plakátu (viz kapitola 4 bod 2 tohoto</w:t>
      </w:r>
      <w:r w:rsidR="00115032" w:rsidRPr="00DD51CE">
        <w:rPr>
          <w:sz w:val="24"/>
          <w:szCs w:val="24"/>
        </w:rPr>
        <w:t xml:space="preserve"> Metodického pokynu)</w:t>
      </w:r>
      <w:r>
        <w:rPr>
          <w:sz w:val="24"/>
          <w:szCs w:val="24"/>
        </w:rPr>
        <w:t>.</w:t>
      </w:r>
      <w:r w:rsidR="00297886">
        <w:rPr>
          <w:sz w:val="24"/>
          <w:szCs w:val="24"/>
        </w:rPr>
        <w:t xml:space="preserve"> Dokládá se pouze jednou, při vyúčtování za první monitorovací období.</w:t>
      </w:r>
    </w:p>
    <w:p w14:paraId="2CAAB41F" w14:textId="1B76547D" w:rsidR="00297886" w:rsidRDefault="00297886" w:rsidP="00DD0686">
      <w:pPr>
        <w:widowControl/>
        <w:pBdr>
          <w:top w:val="nil"/>
          <w:left w:val="nil"/>
          <w:bottom w:val="nil"/>
          <w:right w:val="nil"/>
          <w:between w:val="nil"/>
        </w:pBdr>
        <w:spacing w:after="120" w:line="240" w:lineRule="auto"/>
        <w:jc w:val="both"/>
        <w:rPr>
          <w:rFonts w:eastAsia="Calibri"/>
          <w:sz w:val="24"/>
          <w:szCs w:val="24"/>
        </w:rPr>
      </w:pPr>
      <w:r w:rsidRPr="00C10266">
        <w:rPr>
          <w:rFonts w:eastAsia="Calibri"/>
          <w:sz w:val="24"/>
          <w:szCs w:val="24"/>
        </w:rPr>
        <w:t>Typ podání:</w:t>
      </w:r>
      <w:r w:rsidR="00DD0686" w:rsidRPr="00C10266">
        <w:rPr>
          <w:rFonts w:eastAsia="Calibri"/>
          <w:sz w:val="24"/>
          <w:szCs w:val="24"/>
        </w:rPr>
        <w:t xml:space="preserve"> v</w:t>
      </w:r>
      <w:r w:rsidRPr="00C10266">
        <w:rPr>
          <w:rFonts w:eastAsia="Calibri"/>
          <w:sz w:val="24"/>
          <w:szCs w:val="24"/>
        </w:rPr>
        <w:t> tištěné (vytisknutá fotografie) nebo elektronické podobě (</w:t>
      </w:r>
      <w:proofErr w:type="spellStart"/>
      <w:r w:rsidRPr="00C10266">
        <w:rPr>
          <w:rFonts w:eastAsia="Calibri"/>
          <w:sz w:val="24"/>
          <w:szCs w:val="24"/>
        </w:rPr>
        <w:t>pdf</w:t>
      </w:r>
      <w:proofErr w:type="spellEnd"/>
      <w:r w:rsidRPr="00C10266">
        <w:rPr>
          <w:rFonts w:eastAsia="Calibri"/>
          <w:sz w:val="24"/>
          <w:szCs w:val="24"/>
        </w:rPr>
        <w:t xml:space="preserve">, </w:t>
      </w:r>
      <w:proofErr w:type="spellStart"/>
      <w:r w:rsidRPr="00C10266">
        <w:rPr>
          <w:rFonts w:eastAsia="Calibri"/>
          <w:sz w:val="24"/>
          <w:szCs w:val="24"/>
        </w:rPr>
        <w:t>jpg</w:t>
      </w:r>
      <w:proofErr w:type="spellEnd"/>
      <w:r w:rsidRPr="00C10266">
        <w:rPr>
          <w:rFonts w:eastAsia="Calibri"/>
          <w:sz w:val="24"/>
          <w:szCs w:val="24"/>
        </w:rPr>
        <w:t>).</w:t>
      </w:r>
    </w:p>
    <w:p w14:paraId="2503F2F8" w14:textId="1F628417" w:rsidR="00115032" w:rsidRDefault="00115032" w:rsidP="00115032">
      <w:pPr>
        <w:spacing w:after="120" w:line="240" w:lineRule="auto"/>
        <w:rPr>
          <w:rFonts w:eastAsia="Calibri"/>
          <w:sz w:val="24"/>
          <w:szCs w:val="24"/>
        </w:rPr>
      </w:pPr>
      <w:r w:rsidRPr="00DD51CE">
        <w:rPr>
          <w:rFonts w:eastAsia="Calibri"/>
          <w:sz w:val="24"/>
          <w:szCs w:val="24"/>
        </w:rPr>
        <w:t>Příjemce uchovává</w:t>
      </w:r>
      <w:r w:rsidR="00297886">
        <w:rPr>
          <w:rFonts w:eastAsia="Calibri"/>
          <w:sz w:val="24"/>
          <w:szCs w:val="24"/>
        </w:rPr>
        <w:t xml:space="preserve"> v tištěné nebo elektronické podobě</w:t>
      </w:r>
      <w:r w:rsidRPr="00DD51CE">
        <w:rPr>
          <w:rFonts w:eastAsia="Calibri"/>
          <w:sz w:val="24"/>
          <w:szCs w:val="24"/>
        </w:rPr>
        <w:t>.</w:t>
      </w:r>
    </w:p>
    <w:p w14:paraId="61795E76" w14:textId="76A3ED78" w:rsidR="00297886" w:rsidRPr="00DD51CE" w:rsidRDefault="00B8448E" w:rsidP="00B8448E">
      <w:pPr>
        <w:spacing w:after="120" w:line="240" w:lineRule="auto"/>
        <w:jc w:val="both"/>
        <w:rPr>
          <w:sz w:val="24"/>
          <w:szCs w:val="24"/>
        </w:rPr>
      </w:pPr>
      <w:r>
        <w:rPr>
          <w:sz w:val="24"/>
          <w:szCs w:val="24"/>
        </w:rPr>
        <w:t xml:space="preserve">Předmětem kontroly na místě může být i fyzická </w:t>
      </w:r>
      <w:r w:rsidR="00297886">
        <w:rPr>
          <w:sz w:val="24"/>
          <w:szCs w:val="24"/>
        </w:rPr>
        <w:t xml:space="preserve">kontrola </w:t>
      </w:r>
      <w:r>
        <w:rPr>
          <w:sz w:val="24"/>
          <w:szCs w:val="24"/>
        </w:rPr>
        <w:t xml:space="preserve">umístění </w:t>
      </w:r>
      <w:r w:rsidR="00297886">
        <w:rPr>
          <w:sz w:val="24"/>
          <w:szCs w:val="24"/>
        </w:rPr>
        <w:t>povinného plakátu.</w:t>
      </w:r>
    </w:p>
    <w:p w14:paraId="5E936632" w14:textId="77777777" w:rsidR="004255D9" w:rsidRPr="00DD51CE" w:rsidRDefault="004255D9" w:rsidP="00DD51CE">
      <w:pPr>
        <w:widowControl/>
        <w:spacing w:after="120" w:line="240" w:lineRule="auto"/>
        <w:jc w:val="both"/>
        <w:rPr>
          <w:rFonts w:eastAsia="Calibri"/>
          <w:sz w:val="24"/>
          <w:szCs w:val="24"/>
        </w:rPr>
      </w:pPr>
    </w:p>
    <w:p w14:paraId="57C468C6" w14:textId="7B11BB5C" w:rsidR="004255D9" w:rsidRPr="00402FBE" w:rsidRDefault="00A519B4" w:rsidP="00402FBE">
      <w:pPr>
        <w:numPr>
          <w:ilvl w:val="0"/>
          <w:numId w:val="18"/>
        </w:numPr>
        <w:spacing w:after="120" w:line="240" w:lineRule="auto"/>
        <w:ind w:left="567" w:hanging="567"/>
        <w:rPr>
          <w:b/>
          <w:sz w:val="24"/>
          <w:szCs w:val="24"/>
        </w:rPr>
      </w:pPr>
      <w:r>
        <w:rPr>
          <w:b/>
          <w:sz w:val="24"/>
          <w:szCs w:val="24"/>
        </w:rPr>
        <w:t>P</w:t>
      </w:r>
      <w:r w:rsidR="006733FC" w:rsidRPr="00402FBE">
        <w:rPr>
          <w:b/>
          <w:sz w:val="24"/>
          <w:szCs w:val="24"/>
        </w:rPr>
        <w:t>rotokol</w:t>
      </w:r>
      <w:r w:rsidR="00115032">
        <w:rPr>
          <w:b/>
          <w:sz w:val="24"/>
          <w:szCs w:val="24"/>
        </w:rPr>
        <w:t xml:space="preserve"> </w:t>
      </w:r>
      <w:r w:rsidR="006733FC" w:rsidRPr="00402FBE">
        <w:rPr>
          <w:b/>
          <w:sz w:val="24"/>
          <w:szCs w:val="24"/>
        </w:rPr>
        <w:t>/</w:t>
      </w:r>
      <w:r w:rsidR="00115032">
        <w:rPr>
          <w:b/>
          <w:sz w:val="24"/>
          <w:szCs w:val="24"/>
        </w:rPr>
        <w:t xml:space="preserve"> </w:t>
      </w:r>
      <w:r w:rsidR="006733FC" w:rsidRPr="00402FBE">
        <w:rPr>
          <w:b/>
          <w:sz w:val="24"/>
          <w:szCs w:val="24"/>
        </w:rPr>
        <w:t>diplom z atestační zkoušky</w:t>
      </w:r>
    </w:p>
    <w:p w14:paraId="49C1B77A" w14:textId="481EA9B5" w:rsidR="00203782" w:rsidRDefault="00A519B4" w:rsidP="00DD51CE">
      <w:pPr>
        <w:widowControl/>
        <w:spacing w:after="120" w:line="240" w:lineRule="auto"/>
        <w:rPr>
          <w:rFonts w:eastAsia="Calibri"/>
          <w:sz w:val="24"/>
          <w:szCs w:val="24"/>
        </w:rPr>
      </w:pPr>
      <w:r w:rsidRPr="00A519B4">
        <w:rPr>
          <w:rFonts w:eastAsia="Calibri"/>
          <w:sz w:val="24"/>
          <w:szCs w:val="24"/>
        </w:rPr>
        <w:t>Kopie/skeny protokolu / diplomu z atestační zkoušky</w:t>
      </w:r>
      <w:r w:rsidR="003A552B">
        <w:rPr>
          <w:rFonts w:eastAsia="Calibri"/>
          <w:sz w:val="24"/>
          <w:szCs w:val="24"/>
        </w:rPr>
        <w:t xml:space="preserve"> / </w:t>
      </w:r>
      <w:r w:rsidR="006733FC" w:rsidRPr="00DD51CE">
        <w:rPr>
          <w:rFonts w:eastAsia="Calibri"/>
          <w:sz w:val="24"/>
          <w:szCs w:val="24"/>
        </w:rPr>
        <w:t xml:space="preserve">jiného dokumentu dokladujícího absolvování atestační zkoušky nebo účasti na atestační zkoušce. </w:t>
      </w:r>
    </w:p>
    <w:p w14:paraId="68D2F0D3" w14:textId="2ABBA0BA" w:rsidR="00297886" w:rsidRDefault="00297886"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tištěné (prostá kopie) nebo elektronické podobě (</w:t>
      </w:r>
      <w:proofErr w:type="spellStart"/>
      <w:r>
        <w:rPr>
          <w:rFonts w:eastAsia="Calibri"/>
          <w:sz w:val="24"/>
          <w:szCs w:val="24"/>
        </w:rPr>
        <w:t>pdf</w:t>
      </w:r>
      <w:proofErr w:type="spellEnd"/>
      <w:r>
        <w:rPr>
          <w:rFonts w:eastAsia="Calibri"/>
          <w:sz w:val="24"/>
          <w:szCs w:val="24"/>
        </w:rPr>
        <w:t>).</w:t>
      </w:r>
    </w:p>
    <w:p w14:paraId="24F46141" w14:textId="44AFAD3D" w:rsidR="004255D9" w:rsidRDefault="00FA2DF8" w:rsidP="00DD51CE">
      <w:pPr>
        <w:widowControl/>
        <w:spacing w:after="120" w:line="240" w:lineRule="auto"/>
        <w:rPr>
          <w:rFonts w:eastAsia="Calibri"/>
          <w:sz w:val="24"/>
          <w:szCs w:val="24"/>
        </w:rPr>
      </w:pPr>
      <w:r w:rsidRPr="00DD51CE">
        <w:rPr>
          <w:rFonts w:eastAsia="Calibri"/>
          <w:sz w:val="24"/>
          <w:szCs w:val="24"/>
        </w:rPr>
        <w:t>Příjemce uchovává kopi</w:t>
      </w:r>
      <w:r w:rsidR="00B8448E">
        <w:rPr>
          <w:rFonts w:eastAsia="Calibri"/>
          <w:sz w:val="24"/>
          <w:szCs w:val="24"/>
        </w:rPr>
        <w:t>i</w:t>
      </w:r>
      <w:r w:rsidRPr="00DD51CE">
        <w:rPr>
          <w:rFonts w:eastAsia="Calibri"/>
          <w:sz w:val="24"/>
          <w:szCs w:val="24"/>
        </w:rPr>
        <w:t>.</w:t>
      </w:r>
    </w:p>
    <w:p w14:paraId="2295D700" w14:textId="77777777" w:rsidR="00FD7FAA" w:rsidRPr="00DD51CE" w:rsidRDefault="00FD7FAA" w:rsidP="00DD51CE">
      <w:pPr>
        <w:widowControl/>
        <w:spacing w:after="120" w:line="240" w:lineRule="auto"/>
        <w:rPr>
          <w:rFonts w:eastAsia="Calibri"/>
          <w:sz w:val="24"/>
          <w:szCs w:val="24"/>
        </w:rPr>
      </w:pPr>
    </w:p>
    <w:p w14:paraId="2B4AD8A5" w14:textId="77777777" w:rsidR="004255D9" w:rsidRPr="00402FBE" w:rsidRDefault="006733FC" w:rsidP="00402FBE">
      <w:pPr>
        <w:numPr>
          <w:ilvl w:val="0"/>
          <w:numId w:val="18"/>
        </w:numPr>
        <w:spacing w:after="120" w:line="240" w:lineRule="auto"/>
        <w:ind w:left="567" w:hanging="567"/>
        <w:rPr>
          <w:b/>
          <w:sz w:val="24"/>
          <w:szCs w:val="24"/>
        </w:rPr>
      </w:pPr>
      <w:r w:rsidRPr="00DD51CE">
        <w:rPr>
          <w:b/>
          <w:sz w:val="24"/>
          <w:szCs w:val="24"/>
        </w:rPr>
        <w:t>Tabulka, resp. tabulky Soupis nákladů vzdělávací aktivity</w:t>
      </w:r>
    </w:p>
    <w:p w14:paraId="7165F992" w14:textId="22D6B15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Pouze pro Příjemce, kteří jsou zároveň i </w:t>
      </w:r>
      <w:r w:rsidR="00825577">
        <w:rPr>
          <w:rFonts w:eastAsia="Calibri"/>
          <w:sz w:val="24"/>
          <w:szCs w:val="24"/>
        </w:rPr>
        <w:t>V</w:t>
      </w:r>
      <w:r w:rsidRPr="00DD51CE">
        <w:rPr>
          <w:rFonts w:eastAsia="Calibri"/>
          <w:sz w:val="24"/>
          <w:szCs w:val="24"/>
        </w:rPr>
        <w:t xml:space="preserve">zdělávacími pracovišti. </w:t>
      </w:r>
    </w:p>
    <w:p w14:paraId="3B07F18D" w14:textId="77777777" w:rsidR="004255D9" w:rsidRPr="00DD51CE" w:rsidRDefault="006733FC" w:rsidP="00DD51CE">
      <w:pPr>
        <w:widowControl/>
        <w:spacing w:after="120" w:line="240" w:lineRule="auto"/>
        <w:jc w:val="both"/>
        <w:rPr>
          <w:rFonts w:eastAsia="Calibri"/>
          <w:sz w:val="24"/>
          <w:szCs w:val="24"/>
        </w:rPr>
      </w:pPr>
      <w:r w:rsidRPr="00DD51CE">
        <w:rPr>
          <w:rFonts w:eastAsia="Calibri"/>
          <w:sz w:val="24"/>
          <w:szCs w:val="24"/>
        </w:rPr>
        <w:t xml:space="preserve">Soupis nárokovaných vynaložených způsobilých nákladů pro každou vzdělávací aktivitu zvlášť, u praxí maximálně v rozsahu 1 kalendářního měsíce. </w:t>
      </w:r>
    </w:p>
    <w:p w14:paraId="005F4F59" w14:textId="4107F762" w:rsidR="00297886" w:rsidRPr="00DD51CE" w:rsidRDefault="00297886" w:rsidP="002978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tištěné (originál) i elektronické podobě (e</w:t>
      </w:r>
      <w:r w:rsidRPr="00DD51CE">
        <w:rPr>
          <w:rFonts w:eastAsia="Calibri"/>
          <w:sz w:val="24"/>
          <w:szCs w:val="24"/>
        </w:rPr>
        <w:t xml:space="preserve">ditovatelný formát: nejlépe </w:t>
      </w:r>
      <w:proofErr w:type="spellStart"/>
      <w:r w:rsidRPr="00DD51CE">
        <w:rPr>
          <w:rFonts w:eastAsia="Calibri"/>
          <w:sz w:val="24"/>
          <w:szCs w:val="24"/>
        </w:rPr>
        <w:t>xls</w:t>
      </w:r>
      <w:proofErr w:type="spellEnd"/>
      <w:r w:rsidRPr="00DD51CE">
        <w:rPr>
          <w:rFonts w:eastAsia="Calibri"/>
          <w:sz w:val="24"/>
          <w:szCs w:val="24"/>
        </w:rPr>
        <w:t xml:space="preserve"> či </w:t>
      </w:r>
      <w:proofErr w:type="spellStart"/>
      <w:r w:rsidRPr="00DD51CE">
        <w:rPr>
          <w:rFonts w:eastAsia="Calibri"/>
          <w:sz w:val="24"/>
          <w:szCs w:val="24"/>
        </w:rPr>
        <w:t>xlsx</w:t>
      </w:r>
      <w:proofErr w:type="spellEnd"/>
      <w:r>
        <w:rPr>
          <w:rFonts w:eastAsia="Calibri"/>
          <w:sz w:val="24"/>
          <w:szCs w:val="24"/>
        </w:rPr>
        <w:t>)</w:t>
      </w:r>
      <w:r w:rsidRPr="00DD51CE">
        <w:rPr>
          <w:rFonts w:eastAsia="Calibri"/>
          <w:sz w:val="24"/>
          <w:szCs w:val="24"/>
        </w:rPr>
        <w:t>.</w:t>
      </w:r>
    </w:p>
    <w:p w14:paraId="7208D8CA" w14:textId="41A60C0F" w:rsidR="00203782" w:rsidRPr="00DD51CE" w:rsidRDefault="00203782" w:rsidP="00203782">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Příjemce uchovává kopii.</w:t>
      </w:r>
    </w:p>
    <w:p w14:paraId="03FE4014" w14:textId="77777777" w:rsidR="004255D9" w:rsidRPr="00DD51CE" w:rsidRDefault="006733FC" w:rsidP="00DD51CE">
      <w:pPr>
        <w:widowControl/>
        <w:spacing w:after="120" w:line="240" w:lineRule="auto"/>
        <w:jc w:val="both"/>
        <w:rPr>
          <w:rFonts w:eastAsia="Calibri"/>
          <w:sz w:val="24"/>
          <w:szCs w:val="24"/>
        </w:rPr>
      </w:pPr>
      <w:r w:rsidRPr="00DD51CE">
        <w:rPr>
          <w:rFonts w:eastAsia="Calibri"/>
          <w:sz w:val="24"/>
          <w:szCs w:val="24"/>
        </w:rPr>
        <w:t>Podklad musí obsahovat výpočet ceny na jednoho účastníka (u kurzu), resp. ceny na jednoho účastníka za den (u praxe).</w:t>
      </w:r>
    </w:p>
    <w:p w14:paraId="4BECF4FD" w14:textId="21F2F055" w:rsidR="004255D9" w:rsidRPr="00DD51CE" w:rsidRDefault="006733FC" w:rsidP="00DD51CE">
      <w:pPr>
        <w:widowControl/>
        <w:spacing w:after="120" w:line="240" w:lineRule="auto"/>
        <w:jc w:val="both"/>
        <w:rPr>
          <w:rFonts w:eastAsia="Calibri"/>
          <w:sz w:val="24"/>
          <w:szCs w:val="24"/>
        </w:rPr>
      </w:pPr>
      <w:r w:rsidRPr="00DD51CE">
        <w:rPr>
          <w:rFonts w:eastAsia="Calibri"/>
          <w:sz w:val="24"/>
          <w:szCs w:val="24"/>
        </w:rPr>
        <w:t xml:space="preserve">V případě opakování téže vzdělávací aktivity (například u praxí) v jednom monitorovacím období je možné, pokud nedošlo k poklesu celkové výše všech vynaložených způsobilých nákladů na danou aktivitu, tabulku nahradit čestným prohlášením statutárního </w:t>
      </w:r>
      <w:r w:rsidR="00E361D1">
        <w:rPr>
          <w:rFonts w:eastAsia="Calibri"/>
          <w:sz w:val="24"/>
          <w:szCs w:val="24"/>
        </w:rPr>
        <w:t>orgánu</w:t>
      </w:r>
      <w:r w:rsidR="00003339">
        <w:rPr>
          <w:rFonts w:eastAsia="Calibri"/>
          <w:sz w:val="24"/>
          <w:szCs w:val="24"/>
        </w:rPr>
        <w:t xml:space="preserve">, příp. zmocněnce (viz kapitola 3.3 bod </w:t>
      </w:r>
      <w:r w:rsidR="00C754C3">
        <w:rPr>
          <w:rFonts w:eastAsia="Calibri"/>
          <w:sz w:val="24"/>
          <w:szCs w:val="24"/>
        </w:rPr>
        <w:t xml:space="preserve">1 </w:t>
      </w:r>
      <w:r w:rsidR="00003339">
        <w:rPr>
          <w:rFonts w:eastAsia="Calibri"/>
          <w:sz w:val="24"/>
          <w:szCs w:val="24"/>
        </w:rPr>
        <w:t>tohoto Metodického pokynu</w:t>
      </w:r>
      <w:r w:rsidR="00C754C3">
        <w:rPr>
          <w:rFonts w:eastAsia="Calibri"/>
          <w:sz w:val="24"/>
          <w:szCs w:val="24"/>
        </w:rPr>
        <w:t>)</w:t>
      </w:r>
      <w:r w:rsidRPr="00DD51CE">
        <w:rPr>
          <w:rFonts w:eastAsia="Calibri"/>
          <w:sz w:val="24"/>
          <w:szCs w:val="24"/>
        </w:rPr>
        <w:t>.</w:t>
      </w:r>
    </w:p>
    <w:p w14:paraId="5C7F70D0" w14:textId="77777777" w:rsidR="005B6406" w:rsidRPr="00DD51CE" w:rsidRDefault="005B6406" w:rsidP="00DD51CE">
      <w:pPr>
        <w:spacing w:after="120" w:line="240" w:lineRule="auto"/>
        <w:jc w:val="both"/>
        <w:rPr>
          <w:rFonts w:eastAsia="Calibri"/>
          <w:sz w:val="24"/>
          <w:szCs w:val="24"/>
          <w:highlight w:val="yellow"/>
        </w:rPr>
      </w:pPr>
      <w:r w:rsidRPr="00DD51CE">
        <w:rPr>
          <w:rFonts w:eastAsia="Calibri"/>
          <w:sz w:val="24"/>
          <w:szCs w:val="24"/>
        </w:rPr>
        <w:t xml:space="preserve">V případě, že částka dle soupisu nákladů za den praxe v jednom monitorovacím období bude proměnlivá, je nutné uvést každou specifickou částku na samostatný řádek v tabulce Vyúčtování. Zároveň v případě praxí je nutné dodržet maximální měsíční limit stanovený v tomto Metodickém pokynu. </w:t>
      </w:r>
    </w:p>
    <w:p w14:paraId="2017D2C7" w14:textId="492621BD" w:rsidR="004255D9" w:rsidRPr="00DD51CE" w:rsidRDefault="00B8448E" w:rsidP="00B8448E">
      <w:pPr>
        <w:spacing w:after="120" w:line="240" w:lineRule="auto"/>
        <w:jc w:val="both"/>
        <w:rPr>
          <w:rFonts w:eastAsia="Calibri"/>
          <w:sz w:val="24"/>
          <w:szCs w:val="24"/>
        </w:rPr>
      </w:pPr>
      <w:r>
        <w:rPr>
          <w:sz w:val="24"/>
          <w:szCs w:val="24"/>
        </w:rPr>
        <w:t>Předmětem kontroly na místě mohou být o</w:t>
      </w:r>
      <w:r w:rsidR="006733FC" w:rsidRPr="00DD51CE">
        <w:rPr>
          <w:rFonts w:eastAsia="Calibri"/>
          <w:sz w:val="24"/>
          <w:szCs w:val="24"/>
        </w:rPr>
        <w:t>riginály dokladů, na jejichž základě byl proveden soupis nebo vystaveno čestné prohlášení (z</w:t>
      </w:r>
      <w:r w:rsidR="005B6406" w:rsidRPr="00DD51CE">
        <w:rPr>
          <w:rFonts w:eastAsia="Calibri"/>
          <w:sz w:val="24"/>
          <w:szCs w:val="24"/>
        </w:rPr>
        <w:t>ejména</w:t>
      </w:r>
      <w:r w:rsidR="006733FC" w:rsidRPr="00DD51CE">
        <w:rPr>
          <w:rFonts w:eastAsia="Calibri"/>
          <w:sz w:val="24"/>
          <w:szCs w:val="24"/>
        </w:rPr>
        <w:t xml:space="preserve"> faktury, účtenky, paragony)</w:t>
      </w:r>
      <w:r>
        <w:rPr>
          <w:rFonts w:eastAsia="Calibri"/>
          <w:sz w:val="24"/>
          <w:szCs w:val="24"/>
        </w:rPr>
        <w:t>.</w:t>
      </w:r>
    </w:p>
    <w:p w14:paraId="7DB908B8" w14:textId="317A5BB7" w:rsidR="00BB0938" w:rsidRDefault="00BB0938" w:rsidP="00BB0938">
      <w:pPr>
        <w:tabs>
          <w:tab w:val="left" w:pos="3261"/>
        </w:tabs>
        <w:rPr>
          <w:color w:val="000000"/>
        </w:rPr>
      </w:pPr>
    </w:p>
    <w:p w14:paraId="0C55A170" w14:textId="2F7FB2E8" w:rsidR="004255D9" w:rsidRPr="00B930FE" w:rsidRDefault="00E6591D" w:rsidP="00B930FE">
      <w:pPr>
        <w:pStyle w:val="Nadpis2"/>
      </w:pPr>
      <w:bookmarkStart w:id="35" w:name="_Toc32407808"/>
      <w:r w:rsidRPr="00B930FE">
        <w:t>3.</w:t>
      </w:r>
      <w:r w:rsidR="00CB2DD8">
        <w:t>4</w:t>
      </w:r>
      <w:r w:rsidR="00C97833" w:rsidRPr="00B930FE">
        <w:t xml:space="preserve"> </w:t>
      </w:r>
      <w:r w:rsidR="006733FC" w:rsidRPr="00B930FE">
        <w:t>VYÚČTOVÁNÍ</w:t>
      </w:r>
      <w:bookmarkEnd w:id="35"/>
      <w:r w:rsidR="006733FC" w:rsidRPr="00B930FE">
        <w:t xml:space="preserve"> </w:t>
      </w:r>
    </w:p>
    <w:p w14:paraId="5BD0ABDA" w14:textId="0B64D7F9" w:rsidR="004255D9" w:rsidRPr="00DD51CE" w:rsidRDefault="006733FC" w:rsidP="00B930FE">
      <w:pPr>
        <w:spacing w:after="120" w:line="240" w:lineRule="auto"/>
        <w:jc w:val="both"/>
        <w:rPr>
          <w:rFonts w:eastAsia="Calibri"/>
          <w:b/>
          <w:sz w:val="24"/>
          <w:szCs w:val="24"/>
        </w:rPr>
      </w:pPr>
      <w:r w:rsidRPr="00DD51CE">
        <w:rPr>
          <w:sz w:val="24"/>
          <w:szCs w:val="24"/>
        </w:rPr>
        <w:t xml:space="preserve">Následující tabulka slouží jako návod pro vyplnění tabulky Vyúčtování, která je přílohou </w:t>
      </w:r>
      <w:r w:rsidR="003F342A" w:rsidRPr="00DD51CE">
        <w:rPr>
          <w:sz w:val="24"/>
          <w:szCs w:val="24"/>
        </w:rPr>
        <w:t>Metodiky</w:t>
      </w:r>
      <w:r w:rsidR="006A2886">
        <w:rPr>
          <w:sz w:val="24"/>
          <w:szCs w:val="24"/>
        </w:rPr>
        <w:t xml:space="preserve"> č. 14</w:t>
      </w:r>
      <w:r w:rsidR="003F342A" w:rsidRPr="00DD51CE">
        <w:rPr>
          <w:sz w:val="24"/>
          <w:szCs w:val="24"/>
        </w:rPr>
        <w:t>.</w:t>
      </w:r>
    </w:p>
    <w:tbl>
      <w:tblPr>
        <w:tblStyle w:val="a8"/>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775"/>
      </w:tblGrid>
      <w:tr w:rsidR="004255D9" w:rsidRPr="00E1034A" w14:paraId="1DA52A68" w14:textId="77777777" w:rsidTr="006F3A94">
        <w:tc>
          <w:tcPr>
            <w:tcW w:w="2547" w:type="dxa"/>
          </w:tcPr>
          <w:p w14:paraId="6F5DA1B6" w14:textId="77777777" w:rsidR="004255D9" w:rsidRPr="00E1034A" w:rsidRDefault="006733FC" w:rsidP="00DD51CE">
            <w:pPr>
              <w:widowControl/>
              <w:spacing w:after="120" w:line="240" w:lineRule="auto"/>
              <w:jc w:val="center"/>
              <w:rPr>
                <w:rFonts w:eastAsia="Calibri"/>
                <w:b/>
                <w:bCs/>
                <w:sz w:val="20"/>
                <w:szCs w:val="20"/>
              </w:rPr>
            </w:pPr>
            <w:r w:rsidRPr="00E1034A">
              <w:rPr>
                <w:rFonts w:eastAsia="Calibri"/>
                <w:b/>
                <w:bCs/>
                <w:sz w:val="20"/>
                <w:szCs w:val="20"/>
              </w:rPr>
              <w:t>NÁZEV BUŇKY</w:t>
            </w:r>
          </w:p>
        </w:tc>
        <w:tc>
          <w:tcPr>
            <w:tcW w:w="6775" w:type="dxa"/>
          </w:tcPr>
          <w:p w14:paraId="7611A2F3" w14:textId="77777777" w:rsidR="004255D9" w:rsidRPr="00E1034A" w:rsidRDefault="006733FC" w:rsidP="00DD51CE">
            <w:pPr>
              <w:widowControl/>
              <w:spacing w:after="120" w:line="240" w:lineRule="auto"/>
              <w:jc w:val="center"/>
              <w:rPr>
                <w:rFonts w:eastAsia="Calibri"/>
                <w:b/>
                <w:bCs/>
                <w:sz w:val="20"/>
                <w:szCs w:val="20"/>
              </w:rPr>
            </w:pPr>
            <w:r w:rsidRPr="00E1034A">
              <w:rPr>
                <w:rFonts w:eastAsia="Calibri"/>
                <w:b/>
                <w:bCs/>
                <w:sz w:val="20"/>
                <w:szCs w:val="20"/>
              </w:rPr>
              <w:t>KOMENTÁŘ</w:t>
            </w:r>
          </w:p>
        </w:tc>
      </w:tr>
      <w:tr w:rsidR="005E1555" w:rsidRPr="00E27C7B" w14:paraId="355B502A" w14:textId="77777777" w:rsidTr="006F3A94">
        <w:tc>
          <w:tcPr>
            <w:tcW w:w="2547" w:type="dxa"/>
          </w:tcPr>
          <w:p w14:paraId="4A05C9F5" w14:textId="587CEDF0" w:rsidR="005E1555" w:rsidRPr="00E27C7B" w:rsidRDefault="003F342A" w:rsidP="00DD51CE">
            <w:pPr>
              <w:widowControl/>
              <w:spacing w:after="120" w:line="240" w:lineRule="auto"/>
              <w:rPr>
                <w:rFonts w:eastAsia="Calibri"/>
                <w:b/>
                <w:sz w:val="20"/>
                <w:szCs w:val="20"/>
              </w:rPr>
            </w:pPr>
            <w:r w:rsidRPr="00E27C7B">
              <w:rPr>
                <w:rFonts w:eastAsia="Calibri"/>
                <w:b/>
                <w:sz w:val="20"/>
                <w:szCs w:val="20"/>
              </w:rPr>
              <w:t>Popis výdaje (obsah účetního případu)</w:t>
            </w:r>
          </w:p>
        </w:tc>
        <w:tc>
          <w:tcPr>
            <w:tcW w:w="6775" w:type="dxa"/>
          </w:tcPr>
          <w:p w14:paraId="0C371818" w14:textId="3BAE57F2" w:rsidR="005E1555" w:rsidRPr="00E27C7B" w:rsidRDefault="003F342A" w:rsidP="00FB4296">
            <w:pPr>
              <w:widowControl/>
              <w:spacing w:after="120" w:line="240" w:lineRule="auto"/>
              <w:jc w:val="both"/>
              <w:rPr>
                <w:rFonts w:eastAsia="Calibri"/>
                <w:sz w:val="20"/>
                <w:szCs w:val="20"/>
              </w:rPr>
            </w:pPr>
            <w:r w:rsidRPr="00E27C7B">
              <w:rPr>
                <w:rFonts w:eastAsia="Calibri"/>
                <w:sz w:val="20"/>
                <w:szCs w:val="20"/>
              </w:rPr>
              <w:t>Tři možné varianty:</w:t>
            </w:r>
          </w:p>
          <w:p w14:paraId="62987155" w14:textId="36621CD8" w:rsidR="003F342A" w:rsidRPr="00E27C7B" w:rsidRDefault="00DD77DB" w:rsidP="00FB4296">
            <w:pPr>
              <w:pStyle w:val="Odstavecseseznamem"/>
              <w:widowControl/>
              <w:numPr>
                <w:ilvl w:val="0"/>
                <w:numId w:val="21"/>
              </w:numPr>
              <w:spacing w:after="120" w:line="240" w:lineRule="auto"/>
              <w:jc w:val="both"/>
              <w:rPr>
                <w:rFonts w:eastAsia="Calibri"/>
                <w:sz w:val="20"/>
                <w:szCs w:val="20"/>
              </w:rPr>
            </w:pPr>
            <w:r w:rsidRPr="00E27C7B">
              <w:rPr>
                <w:rFonts w:eastAsia="Calibri"/>
                <w:sz w:val="20"/>
                <w:szCs w:val="20"/>
              </w:rPr>
              <w:t xml:space="preserve">mzdový/platový příspěvek = </w:t>
            </w:r>
            <w:r w:rsidR="00402FBE">
              <w:rPr>
                <w:rFonts w:eastAsia="Calibri"/>
                <w:sz w:val="20"/>
                <w:szCs w:val="20"/>
              </w:rPr>
              <w:t>náklady</w:t>
            </w:r>
            <w:r w:rsidR="00402FBE">
              <w:rPr>
                <w:rFonts w:eastAsia="Times New Roman"/>
                <w:color w:val="000000"/>
                <w:sz w:val="20"/>
                <w:szCs w:val="20"/>
                <w:lang w:val="cs-CZ"/>
              </w:rPr>
              <w:t>,</w:t>
            </w:r>
            <w:r w:rsidRPr="00E27C7B">
              <w:rPr>
                <w:rFonts w:eastAsia="Times New Roman"/>
                <w:color w:val="000000"/>
                <w:sz w:val="20"/>
                <w:szCs w:val="20"/>
                <w:lang w:val="cs-CZ"/>
              </w:rPr>
              <w:t xml:space="preserve"> resp. výdaje na mzdu/plat, resp. náhrady mzdy/platu za pracovní volno</w:t>
            </w:r>
          </w:p>
          <w:p w14:paraId="61C6743E" w14:textId="392F51D6" w:rsidR="003F342A" w:rsidRPr="00E27C7B" w:rsidRDefault="00DD77DB" w:rsidP="00FB4296">
            <w:pPr>
              <w:pStyle w:val="Odstavecseseznamem"/>
              <w:widowControl/>
              <w:numPr>
                <w:ilvl w:val="0"/>
                <w:numId w:val="21"/>
              </w:numPr>
              <w:spacing w:after="120" w:line="240" w:lineRule="auto"/>
              <w:jc w:val="both"/>
              <w:rPr>
                <w:rFonts w:eastAsia="Calibri"/>
                <w:sz w:val="20"/>
                <w:szCs w:val="20"/>
              </w:rPr>
            </w:pPr>
            <w:r w:rsidRPr="00E27C7B">
              <w:rPr>
                <w:rFonts w:eastAsia="Times New Roman"/>
                <w:color w:val="000000"/>
                <w:sz w:val="20"/>
                <w:szCs w:val="20"/>
                <w:lang w:val="cs-CZ"/>
              </w:rPr>
              <w:t>vzdělávání</w:t>
            </w:r>
            <w:r w:rsidRPr="00E27C7B">
              <w:rPr>
                <w:rFonts w:eastAsia="Calibri"/>
                <w:sz w:val="20"/>
                <w:szCs w:val="20"/>
              </w:rPr>
              <w:t xml:space="preserve"> = kurzovné (za kurz nebo praxi)</w:t>
            </w:r>
          </w:p>
          <w:p w14:paraId="5B21A8F3" w14:textId="0F030081" w:rsidR="003F342A" w:rsidRPr="00E27C7B" w:rsidRDefault="00DD77DB" w:rsidP="00FB4296">
            <w:pPr>
              <w:pStyle w:val="Odstavecseseznamem"/>
              <w:widowControl/>
              <w:numPr>
                <w:ilvl w:val="0"/>
                <w:numId w:val="21"/>
              </w:numPr>
              <w:spacing w:after="120" w:line="240" w:lineRule="auto"/>
              <w:jc w:val="both"/>
              <w:rPr>
                <w:rFonts w:eastAsia="Calibri"/>
                <w:sz w:val="20"/>
                <w:szCs w:val="20"/>
              </w:rPr>
            </w:pPr>
            <w:r w:rsidRPr="00E27C7B">
              <w:rPr>
                <w:rFonts w:eastAsia="Times New Roman"/>
                <w:color w:val="000000"/>
                <w:sz w:val="20"/>
                <w:szCs w:val="20"/>
                <w:lang w:val="cs-CZ"/>
              </w:rPr>
              <w:t>ubytování</w:t>
            </w:r>
            <w:r w:rsidRPr="00E27C7B">
              <w:rPr>
                <w:rFonts w:eastAsia="Calibri"/>
                <w:sz w:val="20"/>
                <w:szCs w:val="20"/>
              </w:rPr>
              <w:t xml:space="preserve"> </w:t>
            </w:r>
          </w:p>
        </w:tc>
      </w:tr>
      <w:tr w:rsidR="003F342A" w:rsidRPr="00E27C7B" w14:paraId="1DF5608D" w14:textId="77777777" w:rsidTr="006F3A94">
        <w:tc>
          <w:tcPr>
            <w:tcW w:w="2547" w:type="dxa"/>
          </w:tcPr>
          <w:p w14:paraId="10C8477C" w14:textId="2B276A81"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Částka výdaje </w:t>
            </w:r>
            <w:r w:rsidR="00727D43">
              <w:rPr>
                <w:rFonts w:eastAsia="Calibri"/>
                <w:b/>
                <w:sz w:val="20"/>
                <w:szCs w:val="20"/>
              </w:rPr>
              <w:t xml:space="preserve">nárokovaná </w:t>
            </w:r>
            <w:r w:rsidRPr="00E27C7B">
              <w:rPr>
                <w:rFonts w:eastAsia="Calibri"/>
                <w:b/>
                <w:sz w:val="20"/>
                <w:szCs w:val="20"/>
              </w:rPr>
              <w:t>v </w:t>
            </w:r>
            <w:r w:rsidR="00727D43">
              <w:rPr>
                <w:rFonts w:eastAsia="Calibri"/>
                <w:b/>
                <w:sz w:val="20"/>
                <w:szCs w:val="20"/>
              </w:rPr>
              <w:t>P</w:t>
            </w:r>
            <w:r w:rsidR="00B0657C" w:rsidRPr="00E27C7B">
              <w:rPr>
                <w:rFonts w:eastAsia="Calibri"/>
                <w:b/>
                <w:sz w:val="20"/>
                <w:szCs w:val="20"/>
              </w:rPr>
              <w:t>rojekt</w:t>
            </w:r>
            <w:r w:rsidRPr="00E27C7B">
              <w:rPr>
                <w:rFonts w:eastAsia="Calibri"/>
                <w:b/>
                <w:sz w:val="20"/>
                <w:szCs w:val="20"/>
              </w:rPr>
              <w:t>u (v Kč)</w:t>
            </w:r>
          </w:p>
        </w:tc>
        <w:tc>
          <w:tcPr>
            <w:tcW w:w="6775" w:type="dxa"/>
          </w:tcPr>
          <w:p w14:paraId="06D431FF" w14:textId="77777777" w:rsidR="00681323" w:rsidRPr="00E27C7B" w:rsidRDefault="00681323" w:rsidP="00FB4296">
            <w:pPr>
              <w:widowControl/>
              <w:pBdr>
                <w:top w:val="nil"/>
                <w:left w:val="nil"/>
                <w:bottom w:val="nil"/>
                <w:right w:val="nil"/>
                <w:between w:val="nil"/>
              </w:pBdr>
              <w:spacing w:line="240" w:lineRule="auto"/>
              <w:jc w:val="both"/>
              <w:rPr>
                <w:rFonts w:eastAsia="Calibri"/>
                <w:sz w:val="20"/>
                <w:szCs w:val="20"/>
              </w:rPr>
            </w:pPr>
            <w:r w:rsidRPr="00E27C7B">
              <w:rPr>
                <w:rFonts w:eastAsia="Calibri"/>
                <w:sz w:val="20"/>
                <w:szCs w:val="20"/>
              </w:rPr>
              <w:t xml:space="preserve">Jedná se o částku, která je požadována k proplacení. </w:t>
            </w:r>
          </w:p>
          <w:p w14:paraId="2371726B" w14:textId="792C7492" w:rsidR="009B2FD4" w:rsidRPr="00E27C7B" w:rsidRDefault="009B2FD4" w:rsidP="00FB4296">
            <w:pPr>
              <w:widowControl/>
              <w:pBdr>
                <w:top w:val="nil"/>
                <w:left w:val="nil"/>
                <w:bottom w:val="nil"/>
                <w:right w:val="nil"/>
                <w:between w:val="nil"/>
              </w:pBdr>
              <w:spacing w:line="240" w:lineRule="auto"/>
              <w:jc w:val="both"/>
              <w:rPr>
                <w:rFonts w:eastAsia="Calibri"/>
                <w:sz w:val="20"/>
                <w:szCs w:val="20"/>
              </w:rPr>
            </w:pPr>
            <w:r w:rsidRPr="00E27C7B">
              <w:rPr>
                <w:rFonts w:eastAsia="Calibri"/>
                <w:sz w:val="20"/>
                <w:szCs w:val="20"/>
              </w:rPr>
              <w:t xml:space="preserve">Viz kapitola </w:t>
            </w:r>
            <w:r w:rsidR="00681323" w:rsidRPr="00E27C7B">
              <w:rPr>
                <w:rFonts w:eastAsia="Calibri"/>
                <w:sz w:val="20"/>
                <w:szCs w:val="20"/>
              </w:rPr>
              <w:t>2.3</w:t>
            </w:r>
            <w:r w:rsidRPr="00E27C7B">
              <w:rPr>
                <w:rFonts w:eastAsia="Calibri"/>
                <w:sz w:val="20"/>
                <w:szCs w:val="20"/>
              </w:rPr>
              <w:t xml:space="preserve"> v tomto Metodickém pokynu.</w:t>
            </w:r>
          </w:p>
          <w:p w14:paraId="523F3D93" w14:textId="3F5BA625" w:rsidR="009B2FD4" w:rsidRPr="00E27C7B" w:rsidRDefault="009B2FD4" w:rsidP="00FB4296">
            <w:pPr>
              <w:widowControl/>
              <w:spacing w:after="120" w:line="240" w:lineRule="auto"/>
              <w:jc w:val="both"/>
              <w:rPr>
                <w:rFonts w:eastAsia="Calibri"/>
                <w:sz w:val="20"/>
                <w:szCs w:val="20"/>
              </w:rPr>
            </w:pPr>
          </w:p>
          <w:p w14:paraId="3A01ABB7" w14:textId="4EBB67B8" w:rsidR="00681323" w:rsidRPr="00E27C7B" w:rsidRDefault="00681323" w:rsidP="00FB4296">
            <w:pPr>
              <w:widowControl/>
              <w:spacing w:after="120" w:line="240" w:lineRule="auto"/>
              <w:jc w:val="both"/>
              <w:rPr>
                <w:rFonts w:eastAsia="Calibri"/>
                <w:b/>
                <w:bCs/>
                <w:sz w:val="20"/>
                <w:szCs w:val="20"/>
              </w:rPr>
            </w:pPr>
            <w:r w:rsidRPr="00E27C7B">
              <w:rPr>
                <w:rFonts w:eastAsia="Calibri"/>
                <w:b/>
                <w:bCs/>
                <w:sz w:val="20"/>
                <w:szCs w:val="20"/>
              </w:rPr>
              <w:t>Mzdový příspěvek</w:t>
            </w:r>
          </w:p>
          <w:p w14:paraId="73D1F355" w14:textId="013710BC" w:rsidR="00681323" w:rsidRPr="00E27C7B" w:rsidRDefault="00681323" w:rsidP="00FB4296">
            <w:pPr>
              <w:widowControl/>
              <w:spacing w:after="120" w:line="240" w:lineRule="auto"/>
              <w:jc w:val="both"/>
              <w:rPr>
                <w:rFonts w:eastAsia="Calibri"/>
                <w:sz w:val="20"/>
                <w:szCs w:val="20"/>
              </w:rPr>
            </w:pPr>
            <w:r w:rsidRPr="00E27C7B">
              <w:rPr>
                <w:rFonts w:eastAsia="Calibri"/>
                <w:sz w:val="20"/>
                <w:szCs w:val="20"/>
              </w:rPr>
              <w:t>Lze uvádět dle jednotlivých KA nebo souhrnně</w:t>
            </w:r>
            <w:r w:rsidR="00C84322" w:rsidRPr="00E27C7B">
              <w:rPr>
                <w:rFonts w:eastAsia="Calibri"/>
                <w:sz w:val="20"/>
                <w:szCs w:val="20"/>
              </w:rPr>
              <w:t>,</w:t>
            </w:r>
            <w:r w:rsidRPr="00E27C7B">
              <w:rPr>
                <w:rFonts w:eastAsia="Calibri"/>
                <w:sz w:val="20"/>
                <w:szCs w:val="20"/>
              </w:rPr>
              <w:t xml:space="preserve"> </w:t>
            </w:r>
            <w:r w:rsidR="004B1895" w:rsidRPr="00E27C7B">
              <w:rPr>
                <w:rFonts w:eastAsia="Calibri"/>
                <w:sz w:val="20"/>
                <w:szCs w:val="20"/>
              </w:rPr>
              <w:t>maximálně</w:t>
            </w:r>
            <w:r w:rsidR="00C84322" w:rsidRPr="00E27C7B">
              <w:rPr>
                <w:rFonts w:eastAsia="Calibri"/>
                <w:sz w:val="20"/>
                <w:szCs w:val="20"/>
              </w:rPr>
              <w:t xml:space="preserve"> však</w:t>
            </w:r>
            <w:r w:rsidR="004B1895" w:rsidRPr="00E27C7B">
              <w:rPr>
                <w:rFonts w:eastAsia="Calibri"/>
                <w:sz w:val="20"/>
                <w:szCs w:val="20"/>
              </w:rPr>
              <w:t xml:space="preserve"> </w:t>
            </w:r>
            <w:r w:rsidRPr="00E27C7B">
              <w:rPr>
                <w:rFonts w:eastAsia="Calibri"/>
                <w:sz w:val="20"/>
                <w:szCs w:val="20"/>
              </w:rPr>
              <w:t xml:space="preserve">za </w:t>
            </w:r>
            <w:r w:rsidR="004B1895" w:rsidRPr="00E27C7B">
              <w:rPr>
                <w:rFonts w:eastAsia="Calibri"/>
                <w:sz w:val="20"/>
                <w:szCs w:val="20"/>
              </w:rPr>
              <w:t>jeden kalendářní</w:t>
            </w:r>
            <w:r w:rsidRPr="00E27C7B">
              <w:rPr>
                <w:rFonts w:eastAsia="Calibri"/>
                <w:sz w:val="20"/>
                <w:szCs w:val="20"/>
              </w:rPr>
              <w:t xml:space="preserve"> měsíc. </w:t>
            </w:r>
          </w:p>
          <w:p w14:paraId="5F2A0DE9" w14:textId="77777777" w:rsidR="009B2FD4" w:rsidRPr="00E27C7B" w:rsidRDefault="009B2FD4" w:rsidP="00FB4296">
            <w:pPr>
              <w:widowControl/>
              <w:spacing w:after="120" w:line="240" w:lineRule="auto"/>
              <w:jc w:val="both"/>
              <w:rPr>
                <w:rFonts w:eastAsia="Calibri"/>
                <w:b/>
                <w:bCs/>
                <w:sz w:val="20"/>
                <w:szCs w:val="20"/>
              </w:rPr>
            </w:pPr>
            <w:r w:rsidRPr="00E27C7B">
              <w:rPr>
                <w:rFonts w:eastAsia="Calibri"/>
                <w:b/>
                <w:bCs/>
                <w:sz w:val="20"/>
                <w:szCs w:val="20"/>
              </w:rPr>
              <w:t>Prohlubování kvalifikace</w:t>
            </w:r>
          </w:p>
          <w:p w14:paraId="0D22A233" w14:textId="206EFD39" w:rsidR="009B2FD4" w:rsidRPr="00E27C7B" w:rsidRDefault="009B2FD4" w:rsidP="00FB4296">
            <w:pPr>
              <w:widowControl/>
              <w:spacing w:after="120" w:line="240" w:lineRule="auto"/>
              <w:jc w:val="both"/>
              <w:rPr>
                <w:rFonts w:eastAsia="Calibri"/>
                <w:sz w:val="20"/>
                <w:szCs w:val="20"/>
              </w:rPr>
            </w:pPr>
            <w:r w:rsidRPr="00E27C7B">
              <w:rPr>
                <w:rFonts w:eastAsia="Calibri"/>
                <w:sz w:val="20"/>
                <w:szCs w:val="20"/>
              </w:rPr>
              <w:t>Pokud je superhrubá hodinová sazba nižší než částka</w:t>
            </w:r>
            <w:r w:rsidR="00FB4296">
              <w:rPr>
                <w:rFonts w:eastAsia="Calibri"/>
                <w:sz w:val="20"/>
                <w:szCs w:val="20"/>
              </w:rPr>
              <w:t xml:space="preserve"> </w:t>
            </w:r>
            <w:r w:rsidRPr="00E27C7B">
              <w:rPr>
                <w:rFonts w:eastAsia="Calibri"/>
                <w:sz w:val="20"/>
                <w:szCs w:val="20"/>
              </w:rPr>
              <w:t>uvedená v tomto Metodickém pokynu (</w:t>
            </w:r>
            <w:r w:rsidR="00FB4296">
              <w:rPr>
                <w:rFonts w:eastAsia="Calibri"/>
                <w:sz w:val="20"/>
                <w:szCs w:val="20"/>
              </w:rPr>
              <w:t xml:space="preserve">v </w:t>
            </w:r>
            <w:r w:rsidR="00FB4296">
              <w:rPr>
                <w:sz w:val="20"/>
                <w:szCs w:val="20"/>
              </w:rPr>
              <w:t>tab.</w:t>
            </w:r>
            <w:r w:rsidR="00202D38" w:rsidRPr="00E27C7B">
              <w:rPr>
                <w:sz w:val="20"/>
                <w:szCs w:val="20"/>
              </w:rPr>
              <w:t xml:space="preserve"> Výše maximálních mzdových/platových </w:t>
            </w:r>
            <w:r w:rsidR="00202D38" w:rsidRPr="00E27C7B">
              <w:rPr>
                <w:sz w:val="20"/>
                <w:szCs w:val="20"/>
              </w:rPr>
              <w:lastRenderedPageBreak/>
              <w:t>příspěvků</w:t>
            </w:r>
            <w:r w:rsidRPr="00E27C7B">
              <w:rPr>
                <w:rFonts w:eastAsia="Calibri"/>
                <w:sz w:val="20"/>
                <w:szCs w:val="20"/>
              </w:rPr>
              <w:t xml:space="preserve">), počítá se mzdový příspěvek jako součin superhrubé hodinové mzdy a počtu hodin strávených na kurzu/praxi. </w:t>
            </w:r>
          </w:p>
          <w:p w14:paraId="43109A9A" w14:textId="5B1D3C39" w:rsidR="009B2FD4" w:rsidRPr="00E27C7B" w:rsidRDefault="009B2FD4" w:rsidP="00FB4296">
            <w:pPr>
              <w:widowControl/>
              <w:spacing w:after="120" w:line="240" w:lineRule="auto"/>
              <w:jc w:val="both"/>
              <w:rPr>
                <w:rFonts w:eastAsia="Calibri"/>
                <w:sz w:val="20"/>
                <w:szCs w:val="20"/>
              </w:rPr>
            </w:pPr>
            <w:r w:rsidRPr="00E27C7B">
              <w:rPr>
                <w:rFonts w:eastAsia="Calibri"/>
                <w:sz w:val="20"/>
                <w:szCs w:val="20"/>
              </w:rPr>
              <w:t>V případě, že superhrubá hodinová sazba přesáhne částku</w:t>
            </w:r>
            <w:r w:rsidR="00DD77DB" w:rsidRPr="00E27C7B">
              <w:rPr>
                <w:rFonts w:eastAsia="Calibri"/>
                <w:sz w:val="20"/>
                <w:szCs w:val="20"/>
              </w:rPr>
              <w:t xml:space="preserve"> </w:t>
            </w:r>
            <w:r w:rsidRPr="00E27C7B">
              <w:rPr>
                <w:rFonts w:eastAsia="Calibri"/>
                <w:sz w:val="20"/>
                <w:szCs w:val="20"/>
              </w:rPr>
              <w:t>uvedenou v</w:t>
            </w:r>
            <w:r w:rsidR="00E1034A">
              <w:rPr>
                <w:rFonts w:eastAsia="Calibri"/>
                <w:sz w:val="20"/>
                <w:szCs w:val="20"/>
              </w:rPr>
              <w:t> </w:t>
            </w:r>
            <w:r w:rsidRPr="00E27C7B">
              <w:rPr>
                <w:rFonts w:eastAsia="Calibri"/>
                <w:sz w:val="20"/>
                <w:szCs w:val="20"/>
              </w:rPr>
              <w:t xml:space="preserve">tomto Metodickém </w:t>
            </w:r>
            <w:r w:rsidR="00FB4296">
              <w:rPr>
                <w:rFonts w:eastAsia="Calibri"/>
                <w:sz w:val="20"/>
                <w:szCs w:val="20"/>
              </w:rPr>
              <w:t xml:space="preserve">pokynu </w:t>
            </w:r>
            <w:r w:rsidR="00202D38" w:rsidRPr="00E27C7B">
              <w:rPr>
                <w:rFonts w:eastAsia="Calibri"/>
                <w:sz w:val="20"/>
                <w:szCs w:val="20"/>
              </w:rPr>
              <w:t>(</w:t>
            </w:r>
            <w:r w:rsidR="00FB4296">
              <w:rPr>
                <w:rFonts w:eastAsia="Calibri"/>
                <w:sz w:val="20"/>
                <w:szCs w:val="20"/>
              </w:rPr>
              <w:t>v t</w:t>
            </w:r>
            <w:r w:rsidR="00202D38" w:rsidRPr="00E27C7B">
              <w:rPr>
                <w:sz w:val="20"/>
                <w:szCs w:val="20"/>
              </w:rPr>
              <w:t>ab. Výše maximálních mzdových/platových příspěvků</w:t>
            </w:r>
            <w:r w:rsidR="00202D38" w:rsidRPr="00E27C7B">
              <w:rPr>
                <w:rFonts w:eastAsia="Calibri"/>
                <w:sz w:val="20"/>
                <w:szCs w:val="20"/>
              </w:rPr>
              <w:t xml:space="preserve">), </w:t>
            </w:r>
            <w:r w:rsidRPr="00E27C7B">
              <w:rPr>
                <w:rFonts w:eastAsia="Calibri"/>
                <w:sz w:val="20"/>
                <w:szCs w:val="20"/>
              </w:rPr>
              <w:t>počítá se mzdový příspěvek jako součin částky uvedené v</w:t>
            </w:r>
            <w:r w:rsidR="00FB4296">
              <w:rPr>
                <w:rFonts w:eastAsia="Calibri"/>
                <w:sz w:val="20"/>
                <w:szCs w:val="20"/>
              </w:rPr>
              <w:t xml:space="preserve"> tomto </w:t>
            </w:r>
            <w:r w:rsidRPr="00E27C7B">
              <w:rPr>
                <w:rFonts w:eastAsia="Calibri"/>
                <w:sz w:val="20"/>
                <w:szCs w:val="20"/>
              </w:rPr>
              <w:t>Metodickém pokynu a počtu hodin strávených na kurzu/praxi.</w:t>
            </w:r>
          </w:p>
          <w:p w14:paraId="19CDEE77" w14:textId="77777777" w:rsidR="009B2FD4" w:rsidRPr="00E27C7B" w:rsidRDefault="009B2FD4" w:rsidP="00FB4296">
            <w:pPr>
              <w:widowControl/>
              <w:spacing w:after="120" w:line="240" w:lineRule="auto"/>
              <w:jc w:val="both"/>
              <w:rPr>
                <w:rFonts w:eastAsia="Calibri"/>
                <w:b/>
                <w:bCs/>
                <w:sz w:val="20"/>
                <w:szCs w:val="20"/>
              </w:rPr>
            </w:pPr>
            <w:r w:rsidRPr="00E27C7B">
              <w:rPr>
                <w:rFonts w:eastAsia="Calibri"/>
                <w:b/>
                <w:bCs/>
                <w:sz w:val="20"/>
                <w:szCs w:val="20"/>
              </w:rPr>
              <w:t>Zvyšování kvalifikace</w:t>
            </w:r>
          </w:p>
          <w:p w14:paraId="0C420767" w14:textId="6A17B40A" w:rsidR="009B2FD4" w:rsidRPr="00E27C7B" w:rsidRDefault="009B2FD4" w:rsidP="00FB4296">
            <w:pPr>
              <w:widowControl/>
              <w:spacing w:after="120" w:line="240" w:lineRule="auto"/>
              <w:jc w:val="both"/>
              <w:rPr>
                <w:rFonts w:eastAsia="Calibri"/>
                <w:sz w:val="20"/>
                <w:szCs w:val="20"/>
              </w:rPr>
            </w:pPr>
            <w:r w:rsidRPr="00E27C7B">
              <w:rPr>
                <w:rFonts w:eastAsia="Calibri"/>
                <w:sz w:val="20"/>
                <w:szCs w:val="20"/>
              </w:rPr>
              <w:t xml:space="preserve">Pokud je průměrný hodinový výdělek vč. odvodů </w:t>
            </w:r>
            <w:r w:rsidR="00793A45">
              <w:rPr>
                <w:rFonts w:eastAsia="Calibri"/>
                <w:sz w:val="20"/>
                <w:szCs w:val="20"/>
              </w:rPr>
              <w:t>zaměstnavatel</w:t>
            </w:r>
            <w:r w:rsidRPr="00E27C7B">
              <w:rPr>
                <w:rFonts w:eastAsia="Calibri"/>
                <w:sz w:val="20"/>
                <w:szCs w:val="20"/>
              </w:rPr>
              <w:t>e na sociální a zdravotní pojištění nižší než částka uvedená v tomto Metodické</w:t>
            </w:r>
            <w:r w:rsidR="00DD77DB" w:rsidRPr="00E27C7B">
              <w:rPr>
                <w:rFonts w:eastAsia="Calibri"/>
                <w:sz w:val="20"/>
                <w:szCs w:val="20"/>
              </w:rPr>
              <w:t>m pokynu</w:t>
            </w:r>
            <w:r w:rsidRPr="00E27C7B">
              <w:rPr>
                <w:rFonts w:eastAsia="Calibri"/>
                <w:sz w:val="20"/>
                <w:szCs w:val="20"/>
              </w:rPr>
              <w:t xml:space="preserve"> </w:t>
            </w:r>
            <w:r w:rsidR="00202D38" w:rsidRPr="00E27C7B">
              <w:rPr>
                <w:rFonts w:eastAsia="Calibri"/>
                <w:sz w:val="20"/>
                <w:szCs w:val="20"/>
              </w:rPr>
              <w:t>(</w:t>
            </w:r>
            <w:r w:rsidR="00FB4296">
              <w:rPr>
                <w:rFonts w:eastAsia="Calibri"/>
                <w:sz w:val="20"/>
                <w:szCs w:val="20"/>
              </w:rPr>
              <w:t>v t</w:t>
            </w:r>
            <w:r w:rsidR="00202D38" w:rsidRPr="00E27C7B">
              <w:rPr>
                <w:sz w:val="20"/>
                <w:szCs w:val="20"/>
              </w:rPr>
              <w:t>ab. Výše maximálních mzdových/platových příspěvků</w:t>
            </w:r>
            <w:r w:rsidR="00202D38" w:rsidRPr="00E27C7B">
              <w:rPr>
                <w:rFonts w:eastAsia="Calibri"/>
                <w:sz w:val="20"/>
                <w:szCs w:val="20"/>
              </w:rPr>
              <w:t>)</w:t>
            </w:r>
            <w:r w:rsidRPr="00E27C7B">
              <w:rPr>
                <w:rFonts w:eastAsia="Calibri"/>
                <w:sz w:val="20"/>
                <w:szCs w:val="20"/>
              </w:rPr>
              <w:t xml:space="preserve">, počítá se mzdový příspěvek jako součin průměrného hodinového výdělku vč. odvodů </w:t>
            </w:r>
            <w:r w:rsidR="00793A45">
              <w:rPr>
                <w:rFonts w:eastAsia="Calibri"/>
                <w:sz w:val="20"/>
                <w:szCs w:val="20"/>
              </w:rPr>
              <w:t>zaměstnavatel</w:t>
            </w:r>
            <w:r w:rsidRPr="00E27C7B">
              <w:rPr>
                <w:rFonts w:eastAsia="Calibri"/>
                <w:sz w:val="20"/>
                <w:szCs w:val="20"/>
              </w:rPr>
              <w:t>e</w:t>
            </w:r>
            <w:r w:rsidR="00BC5C4B" w:rsidRPr="00E27C7B">
              <w:rPr>
                <w:rFonts w:eastAsia="Calibri"/>
                <w:sz w:val="20"/>
                <w:szCs w:val="20"/>
              </w:rPr>
              <w:t xml:space="preserve"> </w:t>
            </w:r>
            <w:r w:rsidRPr="00E27C7B">
              <w:rPr>
                <w:rFonts w:eastAsia="Calibri"/>
                <w:sz w:val="20"/>
                <w:szCs w:val="20"/>
              </w:rPr>
              <w:t>na sociální a</w:t>
            </w:r>
            <w:r w:rsidR="00DD77DB" w:rsidRPr="00E27C7B">
              <w:rPr>
                <w:rFonts w:eastAsia="Calibri"/>
                <w:sz w:val="20"/>
                <w:szCs w:val="20"/>
              </w:rPr>
              <w:t> </w:t>
            </w:r>
            <w:r w:rsidRPr="00E27C7B">
              <w:rPr>
                <w:rFonts w:eastAsia="Calibri"/>
                <w:sz w:val="20"/>
                <w:szCs w:val="20"/>
              </w:rPr>
              <w:t xml:space="preserve">zdravotní pojištění a počtu hodin strávených na kurzu/praxi. </w:t>
            </w:r>
          </w:p>
          <w:p w14:paraId="3820C707" w14:textId="0A6A68E3" w:rsidR="003F342A" w:rsidRPr="00E27C7B" w:rsidRDefault="009B2FD4" w:rsidP="00FB4296">
            <w:pPr>
              <w:widowControl/>
              <w:spacing w:after="120" w:line="240" w:lineRule="auto"/>
              <w:jc w:val="both"/>
              <w:rPr>
                <w:rFonts w:eastAsia="Calibri"/>
                <w:sz w:val="20"/>
                <w:szCs w:val="20"/>
              </w:rPr>
            </w:pPr>
            <w:r w:rsidRPr="00E27C7B">
              <w:rPr>
                <w:rFonts w:eastAsia="Calibri"/>
                <w:sz w:val="20"/>
                <w:szCs w:val="20"/>
              </w:rPr>
              <w:t xml:space="preserve">V případě, že průměrný hodinový výdělek vč. odvodů </w:t>
            </w:r>
            <w:r w:rsidR="00793A45">
              <w:rPr>
                <w:rFonts w:eastAsia="Calibri"/>
                <w:sz w:val="20"/>
                <w:szCs w:val="20"/>
              </w:rPr>
              <w:t>zaměstnavatel</w:t>
            </w:r>
            <w:r w:rsidRPr="00E27C7B">
              <w:rPr>
                <w:rFonts w:eastAsia="Calibri"/>
                <w:sz w:val="20"/>
                <w:szCs w:val="20"/>
              </w:rPr>
              <w:t>e na sociální a zdravotní pojištění přesáhne částku uvedenou v tomto Metodickém pokynu</w:t>
            </w:r>
            <w:r w:rsidR="00202D38" w:rsidRPr="00E27C7B">
              <w:rPr>
                <w:rFonts w:eastAsia="Calibri"/>
                <w:sz w:val="20"/>
                <w:szCs w:val="20"/>
              </w:rPr>
              <w:t xml:space="preserve"> (</w:t>
            </w:r>
            <w:r w:rsidR="00FB4296">
              <w:rPr>
                <w:rFonts w:eastAsia="Calibri"/>
                <w:sz w:val="20"/>
                <w:szCs w:val="20"/>
              </w:rPr>
              <w:t>v t</w:t>
            </w:r>
            <w:r w:rsidR="00202D38" w:rsidRPr="00E27C7B">
              <w:rPr>
                <w:sz w:val="20"/>
                <w:szCs w:val="20"/>
              </w:rPr>
              <w:t>ab. Výše maximálních mzdových/platových příspěvků</w:t>
            </w:r>
            <w:r w:rsidR="00202D38" w:rsidRPr="00E27C7B">
              <w:rPr>
                <w:rFonts w:eastAsia="Calibri"/>
                <w:sz w:val="20"/>
                <w:szCs w:val="20"/>
              </w:rPr>
              <w:t>)</w:t>
            </w:r>
            <w:r w:rsidRPr="00E27C7B">
              <w:rPr>
                <w:rFonts w:eastAsia="Calibri"/>
                <w:sz w:val="20"/>
                <w:szCs w:val="20"/>
              </w:rPr>
              <w:t>, mzdový příspěvek se vyjádří jako součin částky uvedené v</w:t>
            </w:r>
            <w:r w:rsidR="00FB4296">
              <w:rPr>
                <w:rFonts w:eastAsia="Calibri"/>
                <w:sz w:val="20"/>
                <w:szCs w:val="20"/>
              </w:rPr>
              <w:t> </w:t>
            </w:r>
            <w:r w:rsidRPr="00E27C7B">
              <w:rPr>
                <w:rFonts w:eastAsia="Calibri"/>
                <w:sz w:val="20"/>
                <w:szCs w:val="20"/>
              </w:rPr>
              <w:t>tomto Metodickém pokynu a počtu hodin strávených na kurzu/praxi.</w:t>
            </w:r>
          </w:p>
          <w:p w14:paraId="447458D5" w14:textId="47F5E658" w:rsidR="00681323" w:rsidRPr="00CB2DD8" w:rsidRDefault="00681323" w:rsidP="00FB4296">
            <w:pPr>
              <w:widowControl/>
              <w:spacing w:after="120" w:line="240" w:lineRule="auto"/>
              <w:jc w:val="both"/>
              <w:rPr>
                <w:rFonts w:eastAsia="Calibri"/>
                <w:b/>
                <w:bCs/>
                <w:sz w:val="20"/>
                <w:szCs w:val="20"/>
              </w:rPr>
            </w:pPr>
            <w:r w:rsidRPr="00CB2DD8">
              <w:rPr>
                <w:rFonts w:eastAsia="Calibri"/>
                <w:b/>
                <w:bCs/>
                <w:sz w:val="20"/>
                <w:szCs w:val="20"/>
              </w:rPr>
              <w:t>Kurzovné</w:t>
            </w:r>
          </w:p>
          <w:p w14:paraId="6B4F85DE" w14:textId="4A5D3850" w:rsidR="00681323" w:rsidRPr="00CB2DD8" w:rsidRDefault="004B1895" w:rsidP="00FB4296">
            <w:pPr>
              <w:widowControl/>
              <w:spacing w:after="120" w:line="240" w:lineRule="auto"/>
              <w:jc w:val="both"/>
              <w:rPr>
                <w:rFonts w:eastAsia="Calibri"/>
                <w:sz w:val="20"/>
                <w:szCs w:val="20"/>
              </w:rPr>
            </w:pPr>
            <w:r w:rsidRPr="00CB2DD8">
              <w:rPr>
                <w:rFonts w:eastAsia="Calibri"/>
                <w:sz w:val="20"/>
                <w:szCs w:val="20"/>
              </w:rPr>
              <w:t>U</w:t>
            </w:r>
            <w:r w:rsidR="00681323" w:rsidRPr="00CB2DD8">
              <w:rPr>
                <w:rFonts w:eastAsia="Calibri"/>
                <w:sz w:val="20"/>
                <w:szCs w:val="20"/>
              </w:rPr>
              <w:t>vádí se po jednotlivých KA</w:t>
            </w:r>
            <w:r w:rsidRPr="00CB2DD8">
              <w:rPr>
                <w:rFonts w:eastAsia="Calibri"/>
                <w:sz w:val="20"/>
                <w:szCs w:val="20"/>
              </w:rPr>
              <w:t xml:space="preserve">. </w:t>
            </w:r>
          </w:p>
          <w:p w14:paraId="0756B243" w14:textId="77777777" w:rsidR="00681323" w:rsidRPr="00CB2DD8" w:rsidRDefault="00681323" w:rsidP="00FB4296">
            <w:pPr>
              <w:widowControl/>
              <w:spacing w:after="120" w:line="240" w:lineRule="auto"/>
              <w:jc w:val="both"/>
              <w:rPr>
                <w:rFonts w:eastAsia="Calibri"/>
                <w:b/>
                <w:bCs/>
                <w:sz w:val="20"/>
                <w:szCs w:val="20"/>
              </w:rPr>
            </w:pPr>
            <w:r w:rsidRPr="00CB2DD8">
              <w:rPr>
                <w:rFonts w:eastAsia="Calibri"/>
                <w:b/>
                <w:bCs/>
                <w:sz w:val="20"/>
                <w:szCs w:val="20"/>
              </w:rPr>
              <w:t>Ubytování</w:t>
            </w:r>
          </w:p>
          <w:p w14:paraId="1F53358B" w14:textId="77777777" w:rsidR="00E31F5E" w:rsidRPr="00CB2DD8" w:rsidRDefault="00E31F5E" w:rsidP="00FB4296">
            <w:pPr>
              <w:widowControl/>
              <w:spacing w:after="120" w:line="240" w:lineRule="auto"/>
              <w:jc w:val="both"/>
              <w:rPr>
                <w:rFonts w:eastAsia="Calibri"/>
                <w:sz w:val="20"/>
                <w:szCs w:val="20"/>
              </w:rPr>
            </w:pPr>
            <w:r w:rsidRPr="00CB2DD8">
              <w:rPr>
                <w:rFonts w:eastAsia="Calibri"/>
                <w:sz w:val="20"/>
                <w:szCs w:val="20"/>
              </w:rPr>
              <w:t xml:space="preserve">Uvádí se po jednotlivých KA. </w:t>
            </w:r>
          </w:p>
          <w:p w14:paraId="16B24220" w14:textId="30F613D0" w:rsidR="00E532B7" w:rsidRPr="00E27C7B" w:rsidRDefault="00D36BB3" w:rsidP="00FB4296">
            <w:pPr>
              <w:widowControl/>
              <w:spacing w:after="120" w:line="240" w:lineRule="auto"/>
              <w:jc w:val="both"/>
              <w:rPr>
                <w:rFonts w:eastAsia="Calibri"/>
                <w:sz w:val="20"/>
                <w:szCs w:val="20"/>
              </w:rPr>
            </w:pPr>
            <w:r>
              <w:rPr>
                <w:rFonts w:eastAsia="Calibri"/>
                <w:sz w:val="20"/>
                <w:szCs w:val="20"/>
              </w:rPr>
              <w:t>V případě, že se účetní doklad týká více KA, l</w:t>
            </w:r>
            <w:r w:rsidR="00681323" w:rsidRPr="00CB2DD8">
              <w:rPr>
                <w:rFonts w:eastAsia="Calibri"/>
                <w:sz w:val="20"/>
                <w:szCs w:val="20"/>
              </w:rPr>
              <w:t xml:space="preserve">ze uvádět dle jednotlivých KA nebo souhrnně. </w:t>
            </w:r>
            <w:r w:rsidR="00BB174D" w:rsidRPr="00CB2DD8">
              <w:rPr>
                <w:rFonts w:eastAsia="Calibri"/>
                <w:sz w:val="20"/>
                <w:szCs w:val="20"/>
              </w:rPr>
              <w:t>Pokud je uváděno souhrnně, je vhodné do poznámky (kvůli případným změnám v rozpočtu v budoucnu) uvést kolik nocí se k jaké KA vztahuje.</w:t>
            </w:r>
          </w:p>
          <w:p w14:paraId="6E6B1AF0" w14:textId="1C10C39D" w:rsidR="00681323" w:rsidRPr="00E27C7B" w:rsidRDefault="00E532B7" w:rsidP="00FB4296">
            <w:pPr>
              <w:widowControl/>
              <w:spacing w:after="120" w:line="240" w:lineRule="auto"/>
              <w:jc w:val="both"/>
              <w:rPr>
                <w:rFonts w:eastAsia="Calibri"/>
                <w:sz w:val="20"/>
                <w:szCs w:val="20"/>
              </w:rPr>
            </w:pPr>
            <w:r w:rsidRPr="00E27C7B">
              <w:rPr>
                <w:rFonts w:eastAsia="Calibri"/>
                <w:sz w:val="20"/>
                <w:szCs w:val="20"/>
              </w:rPr>
              <w:t xml:space="preserve">V případě nejasností prosím kontaktujte finančního manažera </w:t>
            </w:r>
            <w:r w:rsidR="00B0657C" w:rsidRPr="00E27C7B">
              <w:rPr>
                <w:rFonts w:eastAsia="Calibri"/>
                <w:sz w:val="20"/>
                <w:szCs w:val="20"/>
              </w:rPr>
              <w:t>projekt</w:t>
            </w:r>
            <w:r w:rsidRPr="00E27C7B">
              <w:rPr>
                <w:rFonts w:eastAsia="Calibri"/>
                <w:sz w:val="20"/>
                <w:szCs w:val="20"/>
              </w:rPr>
              <w:t>u na MZ.</w:t>
            </w:r>
          </w:p>
        </w:tc>
      </w:tr>
      <w:tr w:rsidR="003F342A" w:rsidRPr="00E27C7B" w14:paraId="30ED430D" w14:textId="77777777" w:rsidTr="006F3A94">
        <w:tc>
          <w:tcPr>
            <w:tcW w:w="2547" w:type="dxa"/>
          </w:tcPr>
          <w:p w14:paraId="635CAD25" w14:textId="53FA1844"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lastRenderedPageBreak/>
              <w:t>Datum vzniku nákladu</w:t>
            </w:r>
          </w:p>
        </w:tc>
        <w:tc>
          <w:tcPr>
            <w:tcW w:w="6775" w:type="dxa"/>
          </w:tcPr>
          <w:p w14:paraId="756B501C" w14:textId="42CE292B"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U daňových dokladů uveďte datum zdanitelného plnění. U</w:t>
            </w:r>
            <w:r w:rsidR="00DD77DB" w:rsidRPr="00E27C7B">
              <w:rPr>
                <w:rFonts w:eastAsia="Calibri"/>
                <w:sz w:val="20"/>
                <w:szCs w:val="20"/>
              </w:rPr>
              <w:t> </w:t>
            </w:r>
            <w:r w:rsidRPr="00E27C7B">
              <w:rPr>
                <w:rFonts w:eastAsia="Calibri"/>
                <w:sz w:val="20"/>
                <w:szCs w:val="20"/>
              </w:rPr>
              <w:t>nedaňových dokladů doplňte datum uskutečnění účetního případu; pokud toto datum doklad neobsahuje, pak je pro kontrolu za datum uskutečnění účetního případu považováno datum vyhotovení účetního dokladu, které musí být na dokladu vždy vyznačeno.</w:t>
            </w:r>
          </w:p>
        </w:tc>
      </w:tr>
      <w:tr w:rsidR="003F342A" w:rsidRPr="00E27C7B" w14:paraId="7979594C" w14:textId="77777777" w:rsidTr="006F3A94">
        <w:tc>
          <w:tcPr>
            <w:tcW w:w="2547" w:type="dxa"/>
          </w:tcPr>
          <w:p w14:paraId="19320D63" w14:textId="3FBB21A9"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Datum úhrady výdaje</w:t>
            </w:r>
          </w:p>
        </w:tc>
        <w:tc>
          <w:tcPr>
            <w:tcW w:w="6775" w:type="dxa"/>
          </w:tcPr>
          <w:p w14:paraId="09071435" w14:textId="77777777"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Uveďte datum dle výpisu z bankovního účtu či výdajového pokladního dokladu. </w:t>
            </w:r>
          </w:p>
          <w:p w14:paraId="30384344" w14:textId="408E8796"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V případě mzdových</w:t>
            </w:r>
            <w:r w:rsidR="00DD77DB" w:rsidRPr="00E27C7B">
              <w:rPr>
                <w:rFonts w:eastAsia="Calibri"/>
                <w:sz w:val="20"/>
                <w:szCs w:val="20"/>
              </w:rPr>
              <w:t>/platových</w:t>
            </w:r>
            <w:r w:rsidRPr="00E27C7B">
              <w:rPr>
                <w:rFonts w:eastAsia="Calibri"/>
                <w:sz w:val="20"/>
                <w:szCs w:val="20"/>
              </w:rPr>
              <w:t xml:space="preserve"> příspěvků se uvede výplatní termín (datum odvodu pojištění se neuvádí).</w:t>
            </w:r>
          </w:p>
        </w:tc>
      </w:tr>
      <w:tr w:rsidR="003F342A" w:rsidRPr="00E27C7B" w14:paraId="732790F4" w14:textId="77777777" w:rsidTr="006F3A94">
        <w:tc>
          <w:tcPr>
            <w:tcW w:w="2547" w:type="dxa"/>
          </w:tcPr>
          <w:p w14:paraId="145B65C0" w14:textId="17C0E0F6"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Název klíčové aktivity </w:t>
            </w:r>
            <w:r w:rsidR="00535A03">
              <w:rPr>
                <w:rFonts w:eastAsia="Calibri"/>
                <w:b/>
                <w:sz w:val="20"/>
                <w:szCs w:val="20"/>
              </w:rPr>
              <w:t>P</w:t>
            </w:r>
            <w:r w:rsidR="00B0657C" w:rsidRPr="00E27C7B">
              <w:rPr>
                <w:rFonts w:eastAsia="Calibri"/>
                <w:b/>
                <w:sz w:val="20"/>
                <w:szCs w:val="20"/>
              </w:rPr>
              <w:t>rojekt</w:t>
            </w:r>
            <w:r w:rsidRPr="00E27C7B">
              <w:rPr>
                <w:rFonts w:eastAsia="Calibri"/>
                <w:b/>
                <w:sz w:val="20"/>
                <w:szCs w:val="20"/>
              </w:rPr>
              <w:t>u</w:t>
            </w:r>
          </w:p>
        </w:tc>
        <w:tc>
          <w:tcPr>
            <w:tcW w:w="6775" w:type="dxa"/>
          </w:tcPr>
          <w:p w14:paraId="115B35B1" w14:textId="2572CFC5"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Viz kapitola </w:t>
            </w:r>
            <w:r w:rsidR="00C272AE" w:rsidRPr="00E27C7B">
              <w:rPr>
                <w:rFonts w:eastAsia="Calibri"/>
                <w:sz w:val="20"/>
                <w:szCs w:val="20"/>
              </w:rPr>
              <w:t>1.2</w:t>
            </w:r>
            <w:r w:rsidRPr="00E27C7B">
              <w:rPr>
                <w:rFonts w:eastAsia="Calibri"/>
                <w:sz w:val="20"/>
                <w:szCs w:val="20"/>
              </w:rPr>
              <w:t xml:space="preserve"> v tomto Metodickém pokynu.</w:t>
            </w:r>
          </w:p>
        </w:tc>
      </w:tr>
      <w:tr w:rsidR="003F342A" w:rsidRPr="00E27C7B" w14:paraId="3158A4FE" w14:textId="77777777" w:rsidTr="006F3A94">
        <w:tc>
          <w:tcPr>
            <w:tcW w:w="2547" w:type="dxa"/>
          </w:tcPr>
          <w:p w14:paraId="651A9BA4" w14:textId="0A3F6775"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Termín klíčové aktivity (od </w:t>
            </w:r>
            <w:r w:rsidR="001844C2" w:rsidRPr="00E27C7B">
              <w:rPr>
                <w:rFonts w:eastAsia="Calibri"/>
                <w:b/>
                <w:sz w:val="20"/>
                <w:szCs w:val="20"/>
              </w:rPr>
              <w:t>–</w:t>
            </w:r>
            <w:r w:rsidRPr="00E27C7B">
              <w:rPr>
                <w:rFonts w:eastAsia="Calibri"/>
                <w:b/>
                <w:sz w:val="20"/>
                <w:szCs w:val="20"/>
              </w:rPr>
              <w:t xml:space="preserve"> do)</w:t>
            </w:r>
          </w:p>
        </w:tc>
        <w:tc>
          <w:tcPr>
            <w:tcW w:w="6775" w:type="dxa"/>
          </w:tcPr>
          <w:p w14:paraId="59C7F9A7" w14:textId="28D62E6E"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Konkrétní časová data uvádějte </w:t>
            </w:r>
            <w:r w:rsidR="00C272AE" w:rsidRPr="00E27C7B">
              <w:rPr>
                <w:rFonts w:eastAsia="Calibri"/>
                <w:sz w:val="20"/>
                <w:szCs w:val="20"/>
              </w:rPr>
              <w:t xml:space="preserve">ideálně </w:t>
            </w:r>
            <w:r w:rsidRPr="00E27C7B">
              <w:rPr>
                <w:rFonts w:eastAsia="Calibri"/>
                <w:sz w:val="20"/>
                <w:szCs w:val="20"/>
              </w:rPr>
              <w:t xml:space="preserve">ve formátu </w:t>
            </w:r>
            <w:proofErr w:type="spellStart"/>
            <w:proofErr w:type="gramStart"/>
            <w:r w:rsidRPr="00E27C7B">
              <w:rPr>
                <w:rFonts w:eastAsia="Calibri"/>
                <w:sz w:val="20"/>
                <w:szCs w:val="20"/>
              </w:rPr>
              <w:t>dd.mm.rrrr</w:t>
            </w:r>
            <w:proofErr w:type="spellEnd"/>
            <w:proofErr w:type="gramEnd"/>
            <w:r w:rsidR="00C272AE" w:rsidRPr="00E27C7B">
              <w:rPr>
                <w:rFonts w:eastAsia="Calibri"/>
                <w:sz w:val="20"/>
                <w:szCs w:val="20"/>
              </w:rPr>
              <w:t>.</w:t>
            </w:r>
          </w:p>
          <w:p w14:paraId="48D1BD51" w14:textId="03191E71"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Maximální rozsah pro řádek je 1 kalendářní měsíc. </w:t>
            </w:r>
            <w:proofErr w:type="spellStart"/>
            <w:r w:rsidRPr="00E27C7B">
              <w:rPr>
                <w:rFonts w:eastAsia="Calibri"/>
                <w:sz w:val="20"/>
                <w:szCs w:val="20"/>
              </w:rPr>
              <w:t>Víceměsíční</w:t>
            </w:r>
            <w:proofErr w:type="spellEnd"/>
            <w:r w:rsidRPr="00E27C7B">
              <w:rPr>
                <w:rFonts w:eastAsia="Calibri"/>
                <w:sz w:val="20"/>
                <w:szCs w:val="20"/>
              </w:rPr>
              <w:t xml:space="preserve"> praxi je tedy třeba rozepsat po měsících.</w:t>
            </w:r>
          </w:p>
        </w:tc>
      </w:tr>
      <w:tr w:rsidR="003F342A" w:rsidRPr="00E27C7B" w14:paraId="6F44473F" w14:textId="77777777" w:rsidTr="006F3A94">
        <w:tc>
          <w:tcPr>
            <w:tcW w:w="2547" w:type="dxa"/>
          </w:tcPr>
          <w:p w14:paraId="1DFCA077" w14:textId="610BADD8" w:rsidR="003F342A" w:rsidRPr="00E27C7B" w:rsidRDefault="003F342A" w:rsidP="00DD51CE">
            <w:pPr>
              <w:widowControl/>
              <w:tabs>
                <w:tab w:val="left" w:pos="990"/>
              </w:tabs>
              <w:spacing w:after="120" w:line="240" w:lineRule="auto"/>
              <w:rPr>
                <w:rFonts w:eastAsia="Calibri"/>
                <w:b/>
                <w:sz w:val="20"/>
                <w:szCs w:val="20"/>
              </w:rPr>
            </w:pPr>
            <w:r w:rsidRPr="00E27C7B">
              <w:rPr>
                <w:rFonts w:eastAsia="Calibri"/>
                <w:b/>
                <w:sz w:val="20"/>
                <w:szCs w:val="20"/>
              </w:rPr>
              <w:t>Počet hodin</w:t>
            </w:r>
          </w:p>
        </w:tc>
        <w:tc>
          <w:tcPr>
            <w:tcW w:w="6775" w:type="dxa"/>
          </w:tcPr>
          <w:p w14:paraId="7FA4C5C6" w14:textId="483CC422" w:rsidR="003F342A" w:rsidRPr="00E27C7B" w:rsidRDefault="00C272AE" w:rsidP="00FB4296">
            <w:pPr>
              <w:widowControl/>
              <w:spacing w:after="120" w:line="240" w:lineRule="auto"/>
              <w:jc w:val="both"/>
              <w:rPr>
                <w:rFonts w:eastAsia="Calibri"/>
                <w:sz w:val="20"/>
                <w:szCs w:val="20"/>
              </w:rPr>
            </w:pPr>
            <w:r w:rsidRPr="00E27C7B">
              <w:rPr>
                <w:rFonts w:eastAsia="Calibri"/>
                <w:sz w:val="20"/>
                <w:szCs w:val="20"/>
              </w:rPr>
              <w:t>Počet hodin musí souhlasit s počtem hodin ve Výkazu účasti na specializačním vzdělávání</w:t>
            </w:r>
            <w:r w:rsidR="00FB4296">
              <w:rPr>
                <w:rFonts w:eastAsia="Calibri"/>
                <w:sz w:val="20"/>
                <w:szCs w:val="20"/>
              </w:rPr>
              <w:t xml:space="preserve"> (případně být nižší)</w:t>
            </w:r>
            <w:r w:rsidRPr="00E27C7B">
              <w:rPr>
                <w:rFonts w:eastAsia="Calibri"/>
                <w:sz w:val="20"/>
                <w:szCs w:val="20"/>
              </w:rPr>
              <w:t>, avšak do výš</w:t>
            </w:r>
            <w:r w:rsidR="00FB4296">
              <w:rPr>
                <w:rFonts w:eastAsia="Calibri"/>
                <w:sz w:val="20"/>
                <w:szCs w:val="20"/>
              </w:rPr>
              <w:t>e</w:t>
            </w:r>
            <w:r w:rsidRPr="00E27C7B">
              <w:rPr>
                <w:rFonts w:eastAsia="Calibri"/>
                <w:sz w:val="20"/>
                <w:szCs w:val="20"/>
              </w:rPr>
              <w:t xml:space="preserve"> daných </w:t>
            </w:r>
            <w:r w:rsidR="00DD77DB" w:rsidRPr="00E27C7B">
              <w:rPr>
                <w:rFonts w:eastAsia="Calibri"/>
                <w:sz w:val="20"/>
                <w:szCs w:val="20"/>
              </w:rPr>
              <w:t>l</w:t>
            </w:r>
            <w:r w:rsidRPr="00E27C7B">
              <w:rPr>
                <w:rFonts w:eastAsia="Calibri"/>
                <w:sz w:val="20"/>
                <w:szCs w:val="20"/>
              </w:rPr>
              <w:t>imitů</w:t>
            </w:r>
            <w:r w:rsidR="00DD77DB" w:rsidRPr="00E27C7B">
              <w:rPr>
                <w:rFonts w:eastAsia="Calibri"/>
                <w:sz w:val="20"/>
                <w:szCs w:val="20"/>
              </w:rPr>
              <w:t xml:space="preserve"> – v</w:t>
            </w:r>
            <w:r w:rsidR="003F342A" w:rsidRPr="00E27C7B">
              <w:rPr>
                <w:rFonts w:eastAsia="Calibri"/>
                <w:sz w:val="20"/>
                <w:szCs w:val="20"/>
              </w:rPr>
              <w:t xml:space="preserve">iz kapitola </w:t>
            </w:r>
            <w:r w:rsidRPr="00E27C7B">
              <w:rPr>
                <w:rFonts w:eastAsia="Calibri"/>
                <w:sz w:val="20"/>
                <w:szCs w:val="20"/>
              </w:rPr>
              <w:t xml:space="preserve">2.2 </w:t>
            </w:r>
            <w:r w:rsidR="003F342A" w:rsidRPr="00E27C7B">
              <w:rPr>
                <w:rFonts w:eastAsia="Calibri"/>
                <w:sz w:val="20"/>
                <w:szCs w:val="20"/>
              </w:rPr>
              <w:t>v</w:t>
            </w:r>
            <w:r w:rsidR="00845DB5">
              <w:rPr>
                <w:rFonts w:eastAsia="Calibri"/>
                <w:sz w:val="20"/>
                <w:szCs w:val="20"/>
              </w:rPr>
              <w:t> </w:t>
            </w:r>
            <w:r w:rsidR="003F342A" w:rsidRPr="00E27C7B">
              <w:rPr>
                <w:rFonts w:eastAsia="Calibri"/>
                <w:sz w:val="20"/>
                <w:szCs w:val="20"/>
              </w:rPr>
              <w:t>tomto Metodickém pokynu.</w:t>
            </w:r>
          </w:p>
        </w:tc>
      </w:tr>
      <w:tr w:rsidR="003F342A" w:rsidRPr="00E27C7B" w14:paraId="6718FC4A" w14:textId="77777777" w:rsidTr="006F3A94">
        <w:tc>
          <w:tcPr>
            <w:tcW w:w="2547" w:type="dxa"/>
          </w:tcPr>
          <w:p w14:paraId="296E21B7" w14:textId="7D7A0B20" w:rsidR="003F342A" w:rsidRPr="00E27C7B" w:rsidRDefault="003F342A" w:rsidP="00DD51CE">
            <w:pPr>
              <w:widowControl/>
              <w:tabs>
                <w:tab w:val="left" w:pos="2580"/>
              </w:tabs>
              <w:spacing w:after="120" w:line="240" w:lineRule="auto"/>
              <w:rPr>
                <w:rFonts w:eastAsia="Calibri"/>
                <w:b/>
                <w:sz w:val="20"/>
                <w:szCs w:val="20"/>
              </w:rPr>
            </w:pPr>
            <w:r w:rsidRPr="00E27C7B">
              <w:rPr>
                <w:rFonts w:eastAsia="Calibri"/>
                <w:b/>
                <w:sz w:val="20"/>
                <w:szCs w:val="20"/>
              </w:rPr>
              <w:t>Zvyšování</w:t>
            </w:r>
            <w:r w:rsidR="00DD77DB" w:rsidRPr="00E27C7B">
              <w:rPr>
                <w:rFonts w:eastAsia="Calibri"/>
                <w:b/>
                <w:sz w:val="20"/>
                <w:szCs w:val="20"/>
              </w:rPr>
              <w:t xml:space="preserve"> – </w:t>
            </w:r>
            <w:r w:rsidRPr="00E27C7B">
              <w:rPr>
                <w:rFonts w:eastAsia="Calibri"/>
                <w:b/>
                <w:sz w:val="20"/>
                <w:szCs w:val="20"/>
              </w:rPr>
              <w:t>Průměrný hodinový výdělek</w:t>
            </w:r>
            <w:r w:rsidR="00BC5C4B" w:rsidRPr="00E27C7B">
              <w:rPr>
                <w:rFonts w:eastAsia="Calibri"/>
                <w:b/>
                <w:sz w:val="20"/>
                <w:szCs w:val="20"/>
              </w:rPr>
              <w:t xml:space="preserve"> </w:t>
            </w:r>
            <w:r w:rsidRPr="00E27C7B">
              <w:rPr>
                <w:rFonts w:eastAsia="Calibri"/>
                <w:b/>
                <w:sz w:val="20"/>
                <w:szCs w:val="20"/>
              </w:rPr>
              <w:t>(v Kč)</w:t>
            </w:r>
          </w:p>
        </w:tc>
        <w:tc>
          <w:tcPr>
            <w:tcW w:w="6775" w:type="dxa"/>
          </w:tcPr>
          <w:p w14:paraId="01103DA1" w14:textId="59790648"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Průměrný hodinový výdělek dle § 232 Zákoníku práce.</w:t>
            </w:r>
          </w:p>
        </w:tc>
      </w:tr>
      <w:tr w:rsidR="003F342A" w:rsidRPr="00E27C7B" w14:paraId="56E91ED0" w14:textId="77777777" w:rsidTr="006F3A94">
        <w:tc>
          <w:tcPr>
            <w:tcW w:w="2547" w:type="dxa"/>
          </w:tcPr>
          <w:p w14:paraId="44938291" w14:textId="04924382"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Zvyšování </w:t>
            </w:r>
            <w:r w:rsidR="00DD77DB" w:rsidRPr="00E27C7B">
              <w:rPr>
                <w:rFonts w:eastAsia="Calibri"/>
                <w:b/>
                <w:sz w:val="20"/>
                <w:szCs w:val="20"/>
              </w:rPr>
              <w:t xml:space="preserve">– </w:t>
            </w:r>
            <w:r w:rsidRPr="00E27C7B">
              <w:rPr>
                <w:rFonts w:eastAsia="Calibri"/>
                <w:b/>
                <w:sz w:val="20"/>
                <w:szCs w:val="20"/>
              </w:rPr>
              <w:t xml:space="preserve">Průměrný hodinový výdělek vč. </w:t>
            </w:r>
            <w:r w:rsidRPr="00E27C7B">
              <w:rPr>
                <w:rFonts w:eastAsia="Calibri"/>
                <w:b/>
                <w:sz w:val="20"/>
                <w:szCs w:val="20"/>
              </w:rPr>
              <w:lastRenderedPageBreak/>
              <w:t xml:space="preserve">odvodů </w:t>
            </w:r>
            <w:r w:rsidR="00C849A2" w:rsidRPr="00E27C7B">
              <w:rPr>
                <w:rFonts w:eastAsia="Calibri"/>
                <w:b/>
                <w:sz w:val="20"/>
                <w:szCs w:val="20"/>
              </w:rPr>
              <w:t>zaměstnavatele</w:t>
            </w:r>
            <w:r w:rsidRPr="00E27C7B">
              <w:rPr>
                <w:rFonts w:eastAsia="Calibri"/>
                <w:b/>
                <w:sz w:val="20"/>
                <w:szCs w:val="20"/>
              </w:rPr>
              <w:t xml:space="preserve"> na soc. a zdrav. pojištění (v Kč)</w:t>
            </w:r>
          </w:p>
        </w:tc>
        <w:tc>
          <w:tcPr>
            <w:tcW w:w="6775" w:type="dxa"/>
          </w:tcPr>
          <w:p w14:paraId="36900480" w14:textId="58493BDF"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lastRenderedPageBreak/>
              <w:t>Pomocný výpočet.</w:t>
            </w:r>
          </w:p>
          <w:p w14:paraId="6A04D841" w14:textId="5B534171"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lastRenderedPageBreak/>
              <w:t>Součin průměrného hodinového výdělku dle § 232 Zákoníku práce a</w:t>
            </w:r>
            <w:r w:rsidR="00845DB5">
              <w:rPr>
                <w:rFonts w:eastAsia="Calibri"/>
                <w:sz w:val="20"/>
                <w:szCs w:val="20"/>
              </w:rPr>
              <w:t> </w:t>
            </w:r>
            <w:r w:rsidRPr="00E27C7B">
              <w:rPr>
                <w:rFonts w:eastAsia="Calibri"/>
                <w:sz w:val="20"/>
                <w:szCs w:val="20"/>
              </w:rPr>
              <w:t xml:space="preserve">pomocného koeficientu dle aktuálních odvodů </w:t>
            </w:r>
            <w:r w:rsidR="00793A45">
              <w:rPr>
                <w:rFonts w:eastAsia="Calibri"/>
                <w:sz w:val="20"/>
                <w:szCs w:val="20"/>
              </w:rPr>
              <w:t>zaměstnavatele</w:t>
            </w:r>
            <w:r w:rsidRPr="00E27C7B">
              <w:rPr>
                <w:rFonts w:eastAsia="Calibri"/>
                <w:sz w:val="20"/>
                <w:szCs w:val="20"/>
              </w:rPr>
              <w:t xml:space="preserve"> na sociální a</w:t>
            </w:r>
            <w:r w:rsidR="00845DB5">
              <w:rPr>
                <w:rFonts w:eastAsia="Calibri"/>
                <w:sz w:val="20"/>
                <w:szCs w:val="20"/>
              </w:rPr>
              <w:t> </w:t>
            </w:r>
            <w:r w:rsidRPr="00E27C7B">
              <w:rPr>
                <w:rFonts w:eastAsia="Calibri"/>
                <w:sz w:val="20"/>
                <w:szCs w:val="20"/>
              </w:rPr>
              <w:t xml:space="preserve">zdravotní pojištění hrazené </w:t>
            </w:r>
            <w:r w:rsidR="00793A45">
              <w:rPr>
                <w:rFonts w:eastAsia="Calibri"/>
                <w:sz w:val="20"/>
                <w:szCs w:val="20"/>
              </w:rPr>
              <w:t>zaměstnavatelem</w:t>
            </w:r>
            <w:r w:rsidRPr="00E27C7B">
              <w:rPr>
                <w:rFonts w:eastAsia="Calibri"/>
                <w:sz w:val="20"/>
                <w:szCs w:val="20"/>
              </w:rPr>
              <w:t xml:space="preserve"> povinně na základě právních předpisů</w:t>
            </w:r>
            <w:r w:rsidR="00C272AE" w:rsidRPr="00E27C7B">
              <w:rPr>
                <w:rFonts w:eastAsia="Calibri"/>
                <w:sz w:val="20"/>
                <w:szCs w:val="20"/>
              </w:rPr>
              <w:t>.</w:t>
            </w:r>
          </w:p>
        </w:tc>
      </w:tr>
      <w:tr w:rsidR="003F342A" w:rsidRPr="00E27C7B" w14:paraId="724299B8" w14:textId="77777777" w:rsidTr="006F3A94">
        <w:tc>
          <w:tcPr>
            <w:tcW w:w="2547" w:type="dxa"/>
          </w:tcPr>
          <w:p w14:paraId="7B9F6221" w14:textId="6247FCFC"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lastRenderedPageBreak/>
              <w:t xml:space="preserve">Prohlubování </w:t>
            </w:r>
            <w:r w:rsidR="00DD77DB" w:rsidRPr="00E27C7B">
              <w:rPr>
                <w:rFonts w:eastAsia="Calibri"/>
                <w:b/>
                <w:sz w:val="20"/>
                <w:szCs w:val="20"/>
              </w:rPr>
              <w:t xml:space="preserve">– </w:t>
            </w:r>
            <w:r w:rsidRPr="00E27C7B">
              <w:rPr>
                <w:rFonts w:eastAsia="Calibri"/>
                <w:b/>
                <w:sz w:val="20"/>
                <w:szCs w:val="20"/>
              </w:rPr>
              <w:t>Celkový počet hodin v měsíci</w:t>
            </w:r>
          </w:p>
        </w:tc>
        <w:tc>
          <w:tcPr>
            <w:tcW w:w="6775" w:type="dxa"/>
          </w:tcPr>
          <w:p w14:paraId="2C848081" w14:textId="5E6395FD"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Součet odpracovaných hodin, svátků, dovolené a hodin s</w:t>
            </w:r>
            <w:r w:rsidR="00DD77DB" w:rsidRPr="00E27C7B">
              <w:rPr>
                <w:rFonts w:eastAsia="Calibri"/>
                <w:sz w:val="20"/>
                <w:szCs w:val="20"/>
              </w:rPr>
              <w:t> </w:t>
            </w:r>
            <w:r w:rsidRPr="00E27C7B">
              <w:rPr>
                <w:rFonts w:eastAsia="Calibri"/>
                <w:sz w:val="20"/>
                <w:szCs w:val="20"/>
              </w:rPr>
              <w:t>náhradou mzdy/platu za překážky v práci, ale bez hodin pracovní neschopnosti, ošetřování člena rodiny, neplaceného volna apod.</w:t>
            </w:r>
          </w:p>
        </w:tc>
      </w:tr>
      <w:tr w:rsidR="003F342A" w:rsidRPr="00E27C7B" w14:paraId="7CE14C15" w14:textId="77777777" w:rsidTr="006F3A94">
        <w:tc>
          <w:tcPr>
            <w:tcW w:w="2547" w:type="dxa"/>
          </w:tcPr>
          <w:p w14:paraId="00102547" w14:textId="773DE9AB"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Prohlubování</w:t>
            </w:r>
            <w:r w:rsidRPr="00E27C7B">
              <w:rPr>
                <w:rFonts w:eastAsia="Calibri"/>
                <w:sz w:val="20"/>
                <w:szCs w:val="20"/>
              </w:rPr>
              <w:t xml:space="preserve"> </w:t>
            </w:r>
            <w:r w:rsidR="00DD77DB" w:rsidRPr="00E27C7B">
              <w:rPr>
                <w:rFonts w:eastAsia="Calibri"/>
                <w:b/>
                <w:sz w:val="20"/>
                <w:szCs w:val="20"/>
              </w:rPr>
              <w:t xml:space="preserve">– </w:t>
            </w:r>
            <w:r w:rsidRPr="00E27C7B">
              <w:rPr>
                <w:rFonts w:eastAsia="Calibri"/>
                <w:b/>
                <w:sz w:val="20"/>
                <w:szCs w:val="20"/>
              </w:rPr>
              <w:t xml:space="preserve">Zúčtovaná </w:t>
            </w:r>
            <w:r w:rsidR="00727D43">
              <w:rPr>
                <w:rFonts w:eastAsia="Calibri"/>
                <w:b/>
                <w:sz w:val="20"/>
                <w:szCs w:val="20"/>
              </w:rPr>
              <w:t xml:space="preserve">měsíční </w:t>
            </w:r>
            <w:r w:rsidRPr="00E27C7B">
              <w:rPr>
                <w:rFonts w:eastAsia="Calibri"/>
                <w:b/>
                <w:sz w:val="20"/>
                <w:szCs w:val="20"/>
              </w:rPr>
              <w:t>hrubá mzda/plat (v</w:t>
            </w:r>
            <w:r w:rsidR="00E1034A">
              <w:rPr>
                <w:rFonts w:eastAsia="Calibri"/>
                <w:b/>
                <w:sz w:val="20"/>
                <w:szCs w:val="20"/>
              </w:rPr>
              <w:t> </w:t>
            </w:r>
            <w:r w:rsidRPr="00E27C7B">
              <w:rPr>
                <w:rFonts w:eastAsia="Calibri"/>
                <w:b/>
                <w:sz w:val="20"/>
                <w:szCs w:val="20"/>
              </w:rPr>
              <w:t>Kč)</w:t>
            </w:r>
          </w:p>
        </w:tc>
        <w:tc>
          <w:tcPr>
            <w:tcW w:w="6775" w:type="dxa"/>
          </w:tcPr>
          <w:p w14:paraId="379476E9" w14:textId="585290CC"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Zúčtovaná hrubá mzda/plat včetně příplatků a odměn v</w:t>
            </w:r>
            <w:r w:rsidR="00DD77DB" w:rsidRPr="00E27C7B">
              <w:rPr>
                <w:rFonts w:eastAsia="Calibri"/>
                <w:sz w:val="20"/>
                <w:szCs w:val="20"/>
              </w:rPr>
              <w:t> </w:t>
            </w:r>
            <w:r w:rsidRPr="00E27C7B">
              <w:rPr>
                <w:rFonts w:eastAsia="Calibri"/>
                <w:sz w:val="20"/>
                <w:szCs w:val="20"/>
              </w:rPr>
              <w:t xml:space="preserve">daném měsíci. Doplňte dle mzdového listu </w:t>
            </w:r>
            <w:r w:rsidR="001E6A30">
              <w:rPr>
                <w:rFonts w:eastAsia="Calibri"/>
                <w:sz w:val="20"/>
                <w:szCs w:val="20"/>
              </w:rPr>
              <w:t>účastníka</w:t>
            </w:r>
            <w:r w:rsidRPr="00E27C7B">
              <w:rPr>
                <w:rFonts w:eastAsia="Calibri"/>
                <w:sz w:val="20"/>
                <w:szCs w:val="20"/>
              </w:rPr>
              <w:t xml:space="preserve">. </w:t>
            </w:r>
          </w:p>
          <w:p w14:paraId="0672CAF8" w14:textId="108E8793"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Nezahrnuje náhradu mzdy/platu hrazenou </w:t>
            </w:r>
            <w:r w:rsidR="00DD77DB" w:rsidRPr="00E27C7B">
              <w:rPr>
                <w:rFonts w:eastAsia="Calibri"/>
                <w:sz w:val="20"/>
                <w:szCs w:val="20"/>
              </w:rPr>
              <w:t>Příjemcem</w:t>
            </w:r>
            <w:r w:rsidRPr="00E27C7B">
              <w:rPr>
                <w:rFonts w:eastAsia="Calibri"/>
                <w:sz w:val="20"/>
                <w:szCs w:val="20"/>
              </w:rPr>
              <w:t xml:space="preserve"> za dobu pracovní neschopnosti.</w:t>
            </w:r>
          </w:p>
        </w:tc>
      </w:tr>
      <w:tr w:rsidR="003F342A" w:rsidRPr="00E27C7B" w14:paraId="2601C5AA" w14:textId="77777777" w:rsidTr="006F3A94">
        <w:tc>
          <w:tcPr>
            <w:tcW w:w="2547" w:type="dxa"/>
          </w:tcPr>
          <w:p w14:paraId="6A30ADC4" w14:textId="7F55714F" w:rsidR="003F342A" w:rsidRPr="00E27C7B" w:rsidRDefault="003F342A" w:rsidP="00727D43">
            <w:pPr>
              <w:widowControl/>
              <w:spacing w:after="120" w:line="240" w:lineRule="auto"/>
              <w:rPr>
                <w:rFonts w:eastAsia="Calibri"/>
                <w:b/>
                <w:sz w:val="20"/>
                <w:szCs w:val="20"/>
              </w:rPr>
            </w:pPr>
            <w:r w:rsidRPr="00E27C7B">
              <w:rPr>
                <w:rFonts w:eastAsia="Calibri"/>
                <w:b/>
                <w:sz w:val="20"/>
                <w:szCs w:val="20"/>
              </w:rPr>
              <w:t xml:space="preserve">Prohlubování </w:t>
            </w:r>
            <w:r w:rsidR="00DD77DB" w:rsidRPr="00E27C7B">
              <w:rPr>
                <w:rFonts w:eastAsia="Calibri"/>
                <w:b/>
                <w:sz w:val="20"/>
                <w:szCs w:val="20"/>
              </w:rPr>
              <w:t>–</w:t>
            </w:r>
            <w:r w:rsidRPr="00E27C7B">
              <w:rPr>
                <w:rFonts w:eastAsia="Calibri"/>
                <w:b/>
                <w:sz w:val="20"/>
                <w:szCs w:val="20"/>
              </w:rPr>
              <w:t xml:space="preserve"> Odvody na soc. </w:t>
            </w:r>
            <w:r w:rsidR="00E1034A" w:rsidRPr="00E27C7B">
              <w:rPr>
                <w:rFonts w:eastAsia="Calibri"/>
                <w:b/>
                <w:sz w:val="20"/>
                <w:szCs w:val="20"/>
              </w:rPr>
              <w:t>A</w:t>
            </w:r>
            <w:r w:rsidR="00E1034A">
              <w:rPr>
                <w:rFonts w:eastAsia="Calibri"/>
                <w:b/>
                <w:sz w:val="20"/>
                <w:szCs w:val="20"/>
              </w:rPr>
              <w:t> </w:t>
            </w:r>
            <w:r w:rsidRPr="00E27C7B">
              <w:rPr>
                <w:rFonts w:eastAsia="Calibri"/>
                <w:b/>
                <w:sz w:val="20"/>
                <w:szCs w:val="20"/>
              </w:rPr>
              <w:t xml:space="preserve">zdrav. pojištění </w:t>
            </w:r>
            <w:r w:rsidR="00727D43">
              <w:rPr>
                <w:rFonts w:eastAsia="Calibri"/>
                <w:b/>
                <w:sz w:val="20"/>
                <w:szCs w:val="20"/>
              </w:rPr>
              <w:t xml:space="preserve">za měsíc </w:t>
            </w:r>
            <w:r w:rsidRPr="00E27C7B">
              <w:rPr>
                <w:rFonts w:eastAsia="Calibri"/>
                <w:b/>
                <w:sz w:val="20"/>
                <w:szCs w:val="20"/>
              </w:rPr>
              <w:t xml:space="preserve">hrazené </w:t>
            </w:r>
            <w:r w:rsidR="00C849A2" w:rsidRPr="00E27C7B">
              <w:rPr>
                <w:rFonts w:eastAsia="Calibri"/>
                <w:b/>
                <w:sz w:val="20"/>
                <w:szCs w:val="20"/>
              </w:rPr>
              <w:t>zaměstnavatelem</w:t>
            </w:r>
            <w:r w:rsidRPr="00E27C7B">
              <w:rPr>
                <w:rFonts w:eastAsia="Calibri"/>
                <w:b/>
                <w:sz w:val="20"/>
                <w:szCs w:val="20"/>
              </w:rPr>
              <w:t xml:space="preserve"> (v</w:t>
            </w:r>
            <w:r w:rsidR="00E1034A">
              <w:rPr>
                <w:rFonts w:eastAsia="Calibri"/>
                <w:b/>
                <w:sz w:val="20"/>
                <w:szCs w:val="20"/>
              </w:rPr>
              <w:t> </w:t>
            </w:r>
            <w:r w:rsidRPr="00E27C7B">
              <w:rPr>
                <w:rFonts w:eastAsia="Calibri"/>
                <w:b/>
                <w:sz w:val="20"/>
                <w:szCs w:val="20"/>
              </w:rPr>
              <w:t>Kč)</w:t>
            </w:r>
          </w:p>
        </w:tc>
        <w:tc>
          <w:tcPr>
            <w:tcW w:w="6775" w:type="dxa"/>
          </w:tcPr>
          <w:p w14:paraId="688734CF" w14:textId="1DC268EB"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Součet částky pojistného na sociální a zdravotní pojištění, které </w:t>
            </w:r>
            <w:r w:rsidR="00793A45">
              <w:rPr>
                <w:rFonts w:eastAsia="Calibri"/>
                <w:sz w:val="20"/>
                <w:szCs w:val="20"/>
              </w:rPr>
              <w:t>zaměstnavatel</w:t>
            </w:r>
            <w:r w:rsidRPr="00E27C7B">
              <w:rPr>
                <w:rFonts w:eastAsia="Calibri"/>
                <w:sz w:val="20"/>
                <w:szCs w:val="20"/>
              </w:rPr>
              <w:t xml:space="preserve"> odvedl ze zúčtované hrubé mzdy/platu</w:t>
            </w:r>
            <w:r w:rsidR="00C272AE" w:rsidRPr="00E27C7B">
              <w:rPr>
                <w:rFonts w:eastAsia="Calibri"/>
                <w:sz w:val="20"/>
                <w:szCs w:val="20"/>
              </w:rPr>
              <w:t>.</w:t>
            </w:r>
          </w:p>
        </w:tc>
      </w:tr>
      <w:tr w:rsidR="003F342A" w:rsidRPr="00E27C7B" w14:paraId="2142D1E5" w14:textId="77777777" w:rsidTr="006F3A94">
        <w:tc>
          <w:tcPr>
            <w:tcW w:w="2547" w:type="dxa"/>
          </w:tcPr>
          <w:p w14:paraId="2D08C3C8" w14:textId="7EA47BDF"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Prohlubování </w:t>
            </w:r>
            <w:r w:rsidR="00DD77DB" w:rsidRPr="00E27C7B">
              <w:rPr>
                <w:rFonts w:eastAsia="Calibri"/>
                <w:b/>
                <w:sz w:val="20"/>
                <w:szCs w:val="20"/>
              </w:rPr>
              <w:t>– J</w:t>
            </w:r>
            <w:r w:rsidRPr="00E27C7B">
              <w:rPr>
                <w:rFonts w:eastAsia="Calibri"/>
                <w:b/>
                <w:sz w:val="20"/>
                <w:szCs w:val="20"/>
              </w:rPr>
              <w:t xml:space="preserve">iné </w:t>
            </w:r>
            <w:r w:rsidR="00727D43">
              <w:rPr>
                <w:rFonts w:eastAsia="Calibri"/>
                <w:b/>
                <w:sz w:val="20"/>
                <w:szCs w:val="20"/>
              </w:rPr>
              <w:t xml:space="preserve">náklady za měsíc </w:t>
            </w:r>
            <w:r w:rsidRPr="00E27C7B">
              <w:rPr>
                <w:rFonts w:eastAsia="Calibri"/>
                <w:b/>
                <w:sz w:val="20"/>
                <w:szCs w:val="20"/>
              </w:rPr>
              <w:t>(v</w:t>
            </w:r>
            <w:r w:rsidR="00E1034A">
              <w:rPr>
                <w:rFonts w:eastAsia="Calibri"/>
                <w:b/>
                <w:sz w:val="20"/>
                <w:szCs w:val="20"/>
              </w:rPr>
              <w:t> </w:t>
            </w:r>
            <w:r w:rsidRPr="00E27C7B">
              <w:rPr>
                <w:rFonts w:eastAsia="Calibri"/>
                <w:b/>
                <w:sz w:val="20"/>
                <w:szCs w:val="20"/>
              </w:rPr>
              <w:t>Kč)</w:t>
            </w:r>
          </w:p>
        </w:tc>
        <w:tc>
          <w:tcPr>
            <w:tcW w:w="6775" w:type="dxa"/>
          </w:tcPr>
          <w:p w14:paraId="25759861" w14:textId="09BD018A" w:rsidR="003F342A" w:rsidRPr="00E27C7B" w:rsidRDefault="003F342A" w:rsidP="00FB4296">
            <w:pPr>
              <w:widowControl/>
              <w:pBdr>
                <w:top w:val="nil"/>
                <w:left w:val="nil"/>
                <w:bottom w:val="nil"/>
                <w:right w:val="nil"/>
                <w:between w:val="nil"/>
              </w:pBdr>
              <w:spacing w:after="120" w:line="240" w:lineRule="auto"/>
              <w:jc w:val="both"/>
              <w:rPr>
                <w:rFonts w:eastAsia="Calibri"/>
                <w:sz w:val="20"/>
                <w:szCs w:val="20"/>
              </w:rPr>
            </w:pPr>
            <w:r w:rsidRPr="00E27C7B">
              <w:rPr>
                <w:rFonts w:eastAsia="Calibri"/>
                <w:sz w:val="20"/>
                <w:szCs w:val="20"/>
              </w:rPr>
              <w:t>Viz kapitola</w:t>
            </w:r>
            <w:r w:rsidR="00C272AE" w:rsidRPr="00E27C7B">
              <w:rPr>
                <w:rFonts w:eastAsia="Calibri"/>
                <w:sz w:val="20"/>
                <w:szCs w:val="20"/>
              </w:rPr>
              <w:t xml:space="preserve"> 2.3.1 </w:t>
            </w:r>
            <w:r w:rsidRPr="00E27C7B">
              <w:rPr>
                <w:rFonts w:eastAsia="Calibri"/>
                <w:sz w:val="20"/>
                <w:szCs w:val="20"/>
              </w:rPr>
              <w:t>v tomto Metodickém pokynu.</w:t>
            </w:r>
          </w:p>
          <w:p w14:paraId="444B8BE6" w14:textId="14F67DEC"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Neuvádějte náhradu mzdy/platu hrazenou </w:t>
            </w:r>
            <w:r w:rsidR="00793A45">
              <w:rPr>
                <w:rFonts w:eastAsia="Calibri"/>
                <w:sz w:val="20"/>
                <w:szCs w:val="20"/>
              </w:rPr>
              <w:t>zaměstnavatel</w:t>
            </w:r>
            <w:r w:rsidRPr="00E27C7B">
              <w:rPr>
                <w:rFonts w:eastAsia="Calibri"/>
                <w:sz w:val="20"/>
                <w:szCs w:val="20"/>
              </w:rPr>
              <w:t>em za dobu pracovní neschopnosti.</w:t>
            </w:r>
          </w:p>
        </w:tc>
      </w:tr>
      <w:tr w:rsidR="003F342A" w:rsidRPr="00E27C7B" w14:paraId="707F79A0" w14:textId="77777777" w:rsidTr="006F3A94">
        <w:tc>
          <w:tcPr>
            <w:tcW w:w="2547" w:type="dxa"/>
          </w:tcPr>
          <w:p w14:paraId="1B7B01C7" w14:textId="7EEEC489"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Prohlubování</w:t>
            </w:r>
            <w:r w:rsidR="00DD77DB" w:rsidRPr="00E27C7B">
              <w:rPr>
                <w:rFonts w:eastAsia="Calibri"/>
                <w:b/>
                <w:sz w:val="20"/>
                <w:szCs w:val="20"/>
              </w:rPr>
              <w:t xml:space="preserve"> – </w:t>
            </w:r>
            <w:r w:rsidRPr="00E27C7B">
              <w:rPr>
                <w:rFonts w:eastAsia="Calibri"/>
                <w:b/>
                <w:sz w:val="20"/>
                <w:szCs w:val="20"/>
              </w:rPr>
              <w:t>Celkový měsíční náklad (v Kč)</w:t>
            </w:r>
          </w:p>
        </w:tc>
        <w:tc>
          <w:tcPr>
            <w:tcW w:w="6775" w:type="dxa"/>
          </w:tcPr>
          <w:p w14:paraId="590002FD" w14:textId="4FF685E5"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Součet zúčtované hrubé mzdy/platu</w:t>
            </w:r>
            <w:r w:rsidR="00983B27">
              <w:rPr>
                <w:rFonts w:eastAsia="Calibri"/>
                <w:sz w:val="20"/>
                <w:szCs w:val="20"/>
              </w:rPr>
              <w:t xml:space="preserve"> </w:t>
            </w:r>
            <w:r w:rsidRPr="00E27C7B">
              <w:rPr>
                <w:rFonts w:eastAsia="Calibri"/>
                <w:sz w:val="20"/>
                <w:szCs w:val="20"/>
              </w:rPr>
              <w:t>/</w:t>
            </w:r>
            <w:r w:rsidR="00983B27">
              <w:rPr>
                <w:rFonts w:eastAsia="Calibri"/>
                <w:sz w:val="20"/>
                <w:szCs w:val="20"/>
              </w:rPr>
              <w:t xml:space="preserve"> </w:t>
            </w:r>
            <w:r w:rsidRPr="00E27C7B">
              <w:rPr>
                <w:rFonts w:eastAsia="Calibri"/>
                <w:sz w:val="20"/>
                <w:szCs w:val="20"/>
              </w:rPr>
              <w:t>odměny z dohody, odvodů na sociální a</w:t>
            </w:r>
            <w:r w:rsidR="00845DB5">
              <w:rPr>
                <w:rFonts w:eastAsia="Calibri"/>
                <w:sz w:val="20"/>
                <w:szCs w:val="20"/>
              </w:rPr>
              <w:t> </w:t>
            </w:r>
            <w:r w:rsidRPr="00E27C7B">
              <w:rPr>
                <w:rFonts w:eastAsia="Calibri"/>
                <w:sz w:val="20"/>
                <w:szCs w:val="20"/>
              </w:rPr>
              <w:t xml:space="preserve">zdravotní pojištění hrazených </w:t>
            </w:r>
            <w:r w:rsidR="00793A45">
              <w:rPr>
                <w:rFonts w:eastAsia="Calibri"/>
                <w:sz w:val="20"/>
                <w:szCs w:val="20"/>
              </w:rPr>
              <w:t>zaměstnavatel</w:t>
            </w:r>
            <w:r w:rsidRPr="00E27C7B">
              <w:rPr>
                <w:rFonts w:eastAsia="Calibri"/>
                <w:sz w:val="20"/>
                <w:szCs w:val="20"/>
              </w:rPr>
              <w:t>em a jiných výdajů.</w:t>
            </w:r>
          </w:p>
        </w:tc>
      </w:tr>
      <w:tr w:rsidR="003F342A" w:rsidRPr="00E27C7B" w14:paraId="12C65512" w14:textId="77777777" w:rsidTr="006F3A94">
        <w:tc>
          <w:tcPr>
            <w:tcW w:w="2547" w:type="dxa"/>
          </w:tcPr>
          <w:p w14:paraId="6569E788" w14:textId="008E2FE7"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Prohlubování </w:t>
            </w:r>
            <w:r w:rsidR="00DD77DB" w:rsidRPr="00E27C7B">
              <w:rPr>
                <w:rFonts w:eastAsia="Calibri"/>
                <w:b/>
                <w:sz w:val="20"/>
                <w:szCs w:val="20"/>
              </w:rPr>
              <w:t xml:space="preserve">– </w:t>
            </w:r>
            <w:r w:rsidRPr="00E27C7B">
              <w:rPr>
                <w:rFonts w:eastAsia="Calibri"/>
                <w:b/>
                <w:sz w:val="20"/>
                <w:szCs w:val="20"/>
              </w:rPr>
              <w:t>Hodinový mzdový náklad, superhrubá hodinová sazba (v</w:t>
            </w:r>
            <w:r w:rsidR="00E1034A">
              <w:rPr>
                <w:rFonts w:eastAsia="Calibri"/>
                <w:b/>
                <w:sz w:val="20"/>
                <w:szCs w:val="20"/>
              </w:rPr>
              <w:t> </w:t>
            </w:r>
            <w:r w:rsidRPr="00E27C7B">
              <w:rPr>
                <w:rFonts w:eastAsia="Calibri"/>
                <w:b/>
                <w:sz w:val="20"/>
                <w:szCs w:val="20"/>
              </w:rPr>
              <w:t>Kč)</w:t>
            </w:r>
          </w:p>
        </w:tc>
        <w:tc>
          <w:tcPr>
            <w:tcW w:w="6775" w:type="dxa"/>
          </w:tcPr>
          <w:p w14:paraId="074185DC" w14:textId="77777777"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Pomocný výpočet.</w:t>
            </w:r>
          </w:p>
          <w:p w14:paraId="2AE448B7" w14:textId="53488A32" w:rsidR="00C849A2" w:rsidRPr="00E27C7B" w:rsidRDefault="00C849A2" w:rsidP="00FB4296">
            <w:pPr>
              <w:widowControl/>
              <w:spacing w:after="120" w:line="240" w:lineRule="auto"/>
              <w:jc w:val="both"/>
              <w:rPr>
                <w:rFonts w:eastAsia="Calibri"/>
                <w:sz w:val="20"/>
                <w:szCs w:val="20"/>
              </w:rPr>
            </w:pPr>
            <w:r w:rsidRPr="00E27C7B">
              <w:rPr>
                <w:rFonts w:eastAsia="Calibri"/>
                <w:sz w:val="20"/>
                <w:szCs w:val="20"/>
              </w:rPr>
              <w:t>Mzdový/platový náklad.</w:t>
            </w:r>
          </w:p>
        </w:tc>
      </w:tr>
      <w:tr w:rsidR="003F342A" w:rsidRPr="00E27C7B" w14:paraId="285DDEDF" w14:textId="77777777" w:rsidTr="006F3A94">
        <w:tc>
          <w:tcPr>
            <w:tcW w:w="2547" w:type="dxa"/>
          </w:tcPr>
          <w:p w14:paraId="5DBA5D0B" w14:textId="06D83178"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Maximální mzdový hodinový příspěvek stanovený MZ (v Kč)</w:t>
            </w:r>
          </w:p>
        </w:tc>
        <w:tc>
          <w:tcPr>
            <w:tcW w:w="6775" w:type="dxa"/>
          </w:tcPr>
          <w:p w14:paraId="0F85ACF9" w14:textId="691D4C6C"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Viz </w:t>
            </w:r>
            <w:r w:rsidR="00C272AE" w:rsidRPr="00E27C7B">
              <w:rPr>
                <w:rFonts w:eastAsia="Calibri"/>
                <w:sz w:val="20"/>
                <w:szCs w:val="20"/>
              </w:rPr>
              <w:t>kapitola 2.3.1</w:t>
            </w:r>
            <w:r w:rsidRPr="00E27C7B">
              <w:rPr>
                <w:rFonts w:eastAsia="Calibri"/>
                <w:sz w:val="20"/>
                <w:szCs w:val="20"/>
              </w:rPr>
              <w:t xml:space="preserve"> </w:t>
            </w:r>
            <w:r w:rsidR="00FB4296">
              <w:rPr>
                <w:sz w:val="20"/>
                <w:szCs w:val="20"/>
              </w:rPr>
              <w:t>t</w:t>
            </w:r>
            <w:r w:rsidR="00202D38" w:rsidRPr="00E27C7B">
              <w:rPr>
                <w:sz w:val="20"/>
                <w:szCs w:val="20"/>
              </w:rPr>
              <w:t>ab. Výše maximálních mzdových/platových příspěvků</w:t>
            </w:r>
            <w:r w:rsidR="00C272AE" w:rsidRPr="00E27C7B">
              <w:rPr>
                <w:rFonts w:eastAsia="Calibri"/>
                <w:sz w:val="20"/>
                <w:szCs w:val="20"/>
              </w:rPr>
              <w:t xml:space="preserve"> </w:t>
            </w:r>
            <w:r w:rsidRPr="00E27C7B">
              <w:rPr>
                <w:rFonts w:eastAsia="Calibri"/>
                <w:sz w:val="20"/>
                <w:szCs w:val="20"/>
              </w:rPr>
              <w:t>v</w:t>
            </w:r>
            <w:r w:rsidR="00845DB5">
              <w:rPr>
                <w:rFonts w:eastAsia="Calibri"/>
                <w:sz w:val="20"/>
                <w:szCs w:val="20"/>
              </w:rPr>
              <w:t> </w:t>
            </w:r>
            <w:r w:rsidRPr="00E27C7B">
              <w:rPr>
                <w:rFonts w:eastAsia="Calibri"/>
                <w:sz w:val="20"/>
                <w:szCs w:val="20"/>
              </w:rPr>
              <w:t xml:space="preserve">tomto Metodickém pokynu. </w:t>
            </w:r>
          </w:p>
          <w:p w14:paraId="5190501A" w14:textId="234D81B6" w:rsidR="00C272AE" w:rsidRPr="00E27C7B" w:rsidRDefault="00C272AE" w:rsidP="00FB4296">
            <w:pPr>
              <w:widowControl/>
              <w:spacing w:after="120" w:line="240" w:lineRule="auto"/>
              <w:jc w:val="both"/>
              <w:rPr>
                <w:rFonts w:eastAsia="Calibri"/>
                <w:sz w:val="20"/>
                <w:szCs w:val="20"/>
              </w:rPr>
            </w:pPr>
            <w:r w:rsidRPr="00E27C7B">
              <w:rPr>
                <w:rFonts w:eastAsia="Calibri"/>
                <w:sz w:val="20"/>
                <w:szCs w:val="20"/>
              </w:rPr>
              <w:t>Pro rok 2020 je částka stanovena na 26</w:t>
            </w:r>
            <w:r w:rsidR="00FB4296">
              <w:rPr>
                <w:rFonts w:eastAsia="Calibri"/>
                <w:sz w:val="20"/>
                <w:szCs w:val="20"/>
              </w:rPr>
              <w:t>1</w:t>
            </w:r>
            <w:r w:rsidRPr="00E27C7B">
              <w:rPr>
                <w:rFonts w:eastAsia="Calibri"/>
                <w:sz w:val="20"/>
                <w:szCs w:val="20"/>
              </w:rPr>
              <w:t>,90 Kč za hodinu.</w:t>
            </w:r>
          </w:p>
        </w:tc>
      </w:tr>
      <w:tr w:rsidR="003F342A" w:rsidRPr="00E27C7B" w14:paraId="18748389" w14:textId="77777777" w:rsidTr="006F3A94">
        <w:tc>
          <w:tcPr>
            <w:tcW w:w="2547" w:type="dxa"/>
          </w:tcPr>
          <w:p w14:paraId="67623944" w14:textId="1196FE6D" w:rsidR="003F342A" w:rsidRPr="00E27C7B" w:rsidRDefault="003F342A" w:rsidP="00DD51CE">
            <w:pPr>
              <w:widowControl/>
              <w:spacing w:after="120" w:line="240" w:lineRule="auto"/>
              <w:rPr>
                <w:rFonts w:eastAsia="Calibri"/>
                <w:b/>
                <w:sz w:val="20"/>
                <w:szCs w:val="20"/>
                <w:highlight w:val="yellow"/>
              </w:rPr>
            </w:pPr>
          </w:p>
        </w:tc>
        <w:tc>
          <w:tcPr>
            <w:tcW w:w="6775" w:type="dxa"/>
          </w:tcPr>
          <w:p w14:paraId="3E3BD559" w14:textId="6D2DD025" w:rsidR="003F342A" w:rsidRPr="00E27C7B" w:rsidRDefault="003F342A" w:rsidP="00FB4296">
            <w:pPr>
              <w:widowControl/>
              <w:spacing w:after="120" w:line="240" w:lineRule="auto"/>
              <w:jc w:val="both"/>
              <w:rPr>
                <w:rFonts w:eastAsia="Calibri"/>
                <w:sz w:val="20"/>
                <w:szCs w:val="20"/>
                <w:highlight w:val="yellow"/>
              </w:rPr>
            </w:pPr>
          </w:p>
        </w:tc>
      </w:tr>
      <w:tr w:rsidR="003F342A" w:rsidRPr="00C754C3" w14:paraId="088365C7" w14:textId="77777777" w:rsidTr="006F3A94">
        <w:tc>
          <w:tcPr>
            <w:tcW w:w="2547" w:type="dxa"/>
          </w:tcPr>
          <w:p w14:paraId="552AA2F8" w14:textId="7FFAAE5D"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Jméno a příjmení statutárního </w:t>
            </w:r>
            <w:r w:rsidR="00E361D1">
              <w:rPr>
                <w:rFonts w:eastAsia="Calibri"/>
                <w:b/>
                <w:sz w:val="20"/>
                <w:szCs w:val="20"/>
              </w:rPr>
              <w:t>orgánu</w:t>
            </w:r>
            <w:r w:rsidRPr="00E27C7B">
              <w:rPr>
                <w:rFonts w:eastAsia="Calibri"/>
                <w:b/>
                <w:sz w:val="20"/>
                <w:szCs w:val="20"/>
              </w:rPr>
              <w:t>, resp. osoby oprávněné jednat</w:t>
            </w:r>
            <w:r w:rsidR="00C849A2" w:rsidRPr="00E27C7B">
              <w:rPr>
                <w:rFonts w:eastAsia="Times New Roman"/>
                <w:b/>
                <w:bCs/>
                <w:sz w:val="20"/>
                <w:szCs w:val="20"/>
                <w:lang w:val="cs-CZ"/>
              </w:rPr>
              <w:t xml:space="preserve"> za subjekt čerpající dotaci</w:t>
            </w:r>
          </w:p>
        </w:tc>
        <w:tc>
          <w:tcPr>
            <w:tcW w:w="6775" w:type="dxa"/>
          </w:tcPr>
          <w:p w14:paraId="5FBADA56" w14:textId="4F001C8C" w:rsidR="003F342A" w:rsidRPr="00C754C3" w:rsidRDefault="003F342A" w:rsidP="00FB4296">
            <w:pPr>
              <w:widowControl/>
              <w:spacing w:after="120" w:line="240" w:lineRule="auto"/>
              <w:jc w:val="both"/>
              <w:rPr>
                <w:rFonts w:eastAsia="Calibri"/>
                <w:sz w:val="20"/>
                <w:szCs w:val="20"/>
              </w:rPr>
            </w:pPr>
            <w:r w:rsidRPr="00C754C3">
              <w:rPr>
                <w:rFonts w:eastAsia="Calibri"/>
                <w:sz w:val="20"/>
                <w:szCs w:val="20"/>
              </w:rPr>
              <w:t xml:space="preserve">Vyplňte v případě, že tabulka není opatřena elektronickým podpisem statutárního </w:t>
            </w:r>
            <w:r w:rsidR="00E361D1">
              <w:rPr>
                <w:rFonts w:eastAsia="Calibri"/>
                <w:sz w:val="20"/>
                <w:szCs w:val="20"/>
              </w:rPr>
              <w:t>orgánu</w:t>
            </w:r>
            <w:r w:rsidR="00E361D1" w:rsidRPr="00C754C3">
              <w:rPr>
                <w:rFonts w:eastAsia="Calibri"/>
                <w:sz w:val="20"/>
                <w:szCs w:val="20"/>
              </w:rPr>
              <w:t xml:space="preserve"> </w:t>
            </w:r>
            <w:r w:rsidRPr="00C754C3">
              <w:rPr>
                <w:rFonts w:eastAsia="Calibri"/>
                <w:sz w:val="20"/>
                <w:szCs w:val="20"/>
              </w:rPr>
              <w:t>Příjemce, resp. osoby oprávněné jednat.</w:t>
            </w:r>
          </w:p>
          <w:p w14:paraId="1E56F1B5" w14:textId="0F26FA03" w:rsidR="003F342A" w:rsidRPr="00C754C3" w:rsidRDefault="003F342A" w:rsidP="00FB4296">
            <w:pPr>
              <w:widowControl/>
              <w:spacing w:after="120" w:line="240" w:lineRule="auto"/>
              <w:jc w:val="both"/>
              <w:rPr>
                <w:rFonts w:eastAsia="Calibri"/>
                <w:sz w:val="20"/>
                <w:szCs w:val="20"/>
              </w:rPr>
            </w:pPr>
            <w:r w:rsidRPr="00C754C3">
              <w:rPr>
                <w:rFonts w:eastAsia="Calibri"/>
                <w:sz w:val="20"/>
                <w:szCs w:val="20"/>
              </w:rPr>
              <w:t xml:space="preserve">V případě, že na straně Příjemce připojuje podpis zmocněnec, musí Příjemce dodat originál či </w:t>
            </w:r>
            <w:r w:rsidR="002C7DFC" w:rsidRPr="00C754C3">
              <w:rPr>
                <w:rFonts w:eastAsia="Calibri"/>
                <w:sz w:val="20"/>
                <w:szCs w:val="20"/>
              </w:rPr>
              <w:t xml:space="preserve">úředně </w:t>
            </w:r>
            <w:r w:rsidRPr="00C754C3">
              <w:rPr>
                <w:rFonts w:eastAsia="Calibri"/>
                <w:sz w:val="20"/>
                <w:szCs w:val="20"/>
              </w:rPr>
              <w:t>ověřenou kopii příslušné plné moci</w:t>
            </w:r>
            <w:r w:rsidR="00C754C3" w:rsidRPr="00C754C3">
              <w:rPr>
                <w:rFonts w:eastAsia="Calibri"/>
                <w:sz w:val="20"/>
                <w:szCs w:val="20"/>
              </w:rPr>
              <w:t>, příp. originál Pověření</w:t>
            </w:r>
            <w:r w:rsidR="001175E5" w:rsidRPr="00C754C3">
              <w:rPr>
                <w:rFonts w:eastAsia="Calibri"/>
                <w:sz w:val="20"/>
                <w:szCs w:val="20"/>
              </w:rPr>
              <w:t xml:space="preserve"> (viz příloha </w:t>
            </w:r>
            <w:r w:rsidR="006A2886" w:rsidRPr="00C754C3">
              <w:rPr>
                <w:rFonts w:eastAsia="Calibri"/>
                <w:sz w:val="20"/>
                <w:szCs w:val="20"/>
              </w:rPr>
              <w:t>Metodiky č. 11</w:t>
            </w:r>
            <w:r w:rsidR="001175E5" w:rsidRPr="00C754C3">
              <w:rPr>
                <w:rFonts w:eastAsia="Calibri"/>
                <w:sz w:val="20"/>
                <w:szCs w:val="20"/>
              </w:rPr>
              <w:t>)</w:t>
            </w:r>
            <w:r w:rsidR="00C754C3" w:rsidRPr="00C754C3">
              <w:rPr>
                <w:rFonts w:eastAsia="Calibri"/>
                <w:sz w:val="20"/>
                <w:szCs w:val="20"/>
              </w:rPr>
              <w:t xml:space="preserve"> – viz kapitola 3.3 bod 1 </w:t>
            </w:r>
            <w:r w:rsidR="00C754C3">
              <w:rPr>
                <w:rFonts w:eastAsia="Calibri"/>
                <w:sz w:val="20"/>
                <w:szCs w:val="20"/>
              </w:rPr>
              <w:t>tohoto</w:t>
            </w:r>
            <w:r w:rsidR="00C754C3" w:rsidRPr="00C754C3">
              <w:rPr>
                <w:rFonts w:eastAsia="Calibri"/>
                <w:sz w:val="20"/>
                <w:szCs w:val="20"/>
              </w:rPr>
              <w:t xml:space="preserve"> Metodické</w:t>
            </w:r>
            <w:r w:rsidR="00FB4296">
              <w:rPr>
                <w:rFonts w:eastAsia="Calibri"/>
                <w:sz w:val="20"/>
                <w:szCs w:val="20"/>
              </w:rPr>
              <w:t>ho</w:t>
            </w:r>
            <w:r w:rsidR="00C754C3" w:rsidRPr="00C754C3">
              <w:rPr>
                <w:rFonts w:eastAsia="Calibri"/>
                <w:sz w:val="20"/>
                <w:szCs w:val="20"/>
              </w:rPr>
              <w:t xml:space="preserve"> pokynu.</w:t>
            </w:r>
          </w:p>
        </w:tc>
      </w:tr>
      <w:tr w:rsidR="003F342A" w:rsidRPr="00C754C3" w14:paraId="0A50B6B5" w14:textId="77777777" w:rsidTr="006F3A94">
        <w:tc>
          <w:tcPr>
            <w:tcW w:w="2547" w:type="dxa"/>
          </w:tcPr>
          <w:p w14:paraId="33E43F89" w14:textId="5253FCF4"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Datum a podpis statutárního </w:t>
            </w:r>
            <w:r w:rsidR="00E361D1">
              <w:rPr>
                <w:rFonts w:eastAsia="Calibri"/>
                <w:b/>
                <w:sz w:val="20"/>
                <w:szCs w:val="20"/>
              </w:rPr>
              <w:t>orgánu</w:t>
            </w:r>
            <w:r w:rsidRPr="00E27C7B">
              <w:rPr>
                <w:rFonts w:eastAsia="Calibri"/>
                <w:b/>
                <w:sz w:val="20"/>
                <w:szCs w:val="20"/>
              </w:rPr>
              <w:t>, resp. osoby oprávněné jednat</w:t>
            </w:r>
            <w:r w:rsidR="00C849A2" w:rsidRPr="00E27C7B">
              <w:rPr>
                <w:rFonts w:eastAsia="Calibri"/>
                <w:b/>
                <w:sz w:val="20"/>
                <w:szCs w:val="20"/>
              </w:rPr>
              <w:t xml:space="preserve"> </w:t>
            </w:r>
            <w:r w:rsidR="00C849A2" w:rsidRPr="00E27C7B">
              <w:rPr>
                <w:rFonts w:eastAsia="Times New Roman"/>
                <w:b/>
                <w:bCs/>
                <w:sz w:val="20"/>
                <w:szCs w:val="20"/>
                <w:lang w:val="cs-CZ"/>
              </w:rPr>
              <w:t>za subjekt čerpající dotaci</w:t>
            </w:r>
          </w:p>
        </w:tc>
        <w:tc>
          <w:tcPr>
            <w:tcW w:w="6775" w:type="dxa"/>
          </w:tcPr>
          <w:p w14:paraId="06ABDD2D" w14:textId="7B1BEB2A" w:rsidR="003F342A" w:rsidRPr="00C754C3" w:rsidRDefault="003F342A" w:rsidP="00FB4296">
            <w:pPr>
              <w:widowControl/>
              <w:spacing w:after="120" w:line="240" w:lineRule="auto"/>
              <w:jc w:val="both"/>
              <w:rPr>
                <w:rFonts w:eastAsia="Calibri"/>
                <w:sz w:val="20"/>
                <w:szCs w:val="20"/>
              </w:rPr>
            </w:pPr>
            <w:r w:rsidRPr="00C754C3">
              <w:rPr>
                <w:rFonts w:eastAsia="Calibri"/>
                <w:sz w:val="20"/>
                <w:szCs w:val="20"/>
              </w:rPr>
              <w:t xml:space="preserve">Pokud statutární </w:t>
            </w:r>
            <w:r w:rsidR="00E361D1">
              <w:rPr>
                <w:rFonts w:eastAsia="Calibri"/>
                <w:sz w:val="20"/>
                <w:szCs w:val="20"/>
              </w:rPr>
              <w:t>orgán</w:t>
            </w:r>
            <w:r w:rsidRPr="00C754C3">
              <w:rPr>
                <w:rFonts w:eastAsia="Calibri"/>
                <w:sz w:val="20"/>
                <w:szCs w:val="20"/>
              </w:rPr>
              <w:t xml:space="preserve">, resp. osoba oprávněná jednat, podepisuje </w:t>
            </w:r>
            <w:r w:rsidR="001844C2" w:rsidRPr="00C754C3">
              <w:rPr>
                <w:rFonts w:eastAsia="Calibri"/>
                <w:sz w:val="20"/>
                <w:szCs w:val="20"/>
              </w:rPr>
              <w:t>V</w:t>
            </w:r>
            <w:r w:rsidRPr="00C754C3">
              <w:rPr>
                <w:rFonts w:eastAsia="Calibri"/>
                <w:sz w:val="20"/>
                <w:szCs w:val="20"/>
              </w:rPr>
              <w:t>yúčtování v listinné podobě, využije tento prostor na výtisku dokumentu pro umístění data a svého podpisu.</w:t>
            </w:r>
          </w:p>
        </w:tc>
      </w:tr>
    </w:tbl>
    <w:p w14:paraId="46397E92" w14:textId="49D6E5BB" w:rsidR="004255D9" w:rsidRPr="00B930FE" w:rsidRDefault="006733FC" w:rsidP="00B930FE">
      <w:pPr>
        <w:pStyle w:val="Nadpis1"/>
      </w:pPr>
      <w:bookmarkStart w:id="36" w:name="_xelsierqd84n" w:colFirst="0" w:colLast="0"/>
      <w:bookmarkEnd w:id="36"/>
      <w:r w:rsidRPr="00DD51CE">
        <w:br w:type="page"/>
      </w:r>
      <w:bookmarkStart w:id="37" w:name="_Toc32407809"/>
      <w:r w:rsidRPr="00B930FE">
        <w:lastRenderedPageBreak/>
        <w:t>4. PUBLICITA</w:t>
      </w:r>
      <w:bookmarkEnd w:id="37"/>
    </w:p>
    <w:p w14:paraId="26B974AB" w14:textId="4023AECB" w:rsidR="004255D9" w:rsidRPr="006F3A94" w:rsidRDefault="006733FC" w:rsidP="006F3A94">
      <w:pPr>
        <w:widowControl/>
        <w:numPr>
          <w:ilvl w:val="0"/>
          <w:numId w:val="34"/>
        </w:numPr>
        <w:pBdr>
          <w:top w:val="nil"/>
          <w:left w:val="nil"/>
          <w:bottom w:val="nil"/>
          <w:right w:val="nil"/>
          <w:between w:val="nil"/>
        </w:pBdr>
        <w:spacing w:before="120" w:after="120" w:line="240" w:lineRule="auto"/>
        <w:ind w:left="414" w:hanging="357"/>
        <w:jc w:val="both"/>
        <w:rPr>
          <w:rFonts w:eastAsia="Calibri"/>
          <w:sz w:val="24"/>
          <w:szCs w:val="24"/>
        </w:rPr>
      </w:pPr>
      <w:r w:rsidRPr="0027623F">
        <w:rPr>
          <w:rFonts w:eastAsia="Cambria"/>
          <w:sz w:val="24"/>
          <w:szCs w:val="24"/>
        </w:rPr>
        <w:t>Následující</w:t>
      </w:r>
      <w:r w:rsidRPr="00DD51CE">
        <w:rPr>
          <w:rFonts w:eastAsia="Cambria"/>
          <w:sz w:val="24"/>
          <w:szCs w:val="24"/>
        </w:rPr>
        <w:t xml:space="preserve"> text upřesňuje pravidla a povinnosti při plnění komunikačních </w:t>
      </w:r>
      <w:r w:rsidRPr="006F3A94">
        <w:rPr>
          <w:rFonts w:eastAsia="Calibri"/>
          <w:sz w:val="24"/>
          <w:szCs w:val="24"/>
        </w:rPr>
        <w:t>a</w:t>
      </w:r>
      <w:r w:rsidR="00845DB5" w:rsidRPr="006F3A94">
        <w:rPr>
          <w:rFonts w:eastAsia="Calibri"/>
          <w:sz w:val="24"/>
          <w:szCs w:val="24"/>
        </w:rPr>
        <w:t> </w:t>
      </w:r>
      <w:r w:rsidRPr="006F3A94">
        <w:rPr>
          <w:rFonts w:eastAsia="Calibri"/>
          <w:sz w:val="24"/>
          <w:szCs w:val="24"/>
        </w:rPr>
        <w:t>informačních povinností.</w:t>
      </w:r>
    </w:p>
    <w:p w14:paraId="07AA6E5C" w14:textId="6518EBD6"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Během realizace účelu dotace </w:t>
      </w:r>
      <w:r w:rsidR="00F00D11" w:rsidRPr="00DD51CE">
        <w:rPr>
          <w:rFonts w:eastAsia="Cambria"/>
          <w:sz w:val="24"/>
          <w:szCs w:val="24"/>
        </w:rPr>
        <w:t xml:space="preserve">je </w:t>
      </w:r>
      <w:r w:rsidRPr="00DD51CE">
        <w:rPr>
          <w:rFonts w:eastAsia="Cambria"/>
          <w:sz w:val="24"/>
          <w:szCs w:val="24"/>
        </w:rPr>
        <w:t xml:space="preserve">Příjemce </w:t>
      </w:r>
      <w:r w:rsidR="00F00D11" w:rsidRPr="00DD51CE">
        <w:rPr>
          <w:rFonts w:eastAsia="Cambria"/>
          <w:sz w:val="24"/>
          <w:szCs w:val="24"/>
        </w:rPr>
        <w:t>povinen</w:t>
      </w:r>
      <w:r w:rsidRPr="00DD51CE">
        <w:rPr>
          <w:rFonts w:eastAsia="Cambria"/>
          <w:sz w:val="24"/>
          <w:szCs w:val="24"/>
        </w:rPr>
        <w:t xml:space="preserve"> informovat veřejnost o podpoře získané z</w:t>
      </w:r>
      <w:r w:rsidR="001844C2" w:rsidRPr="00DD51CE">
        <w:rPr>
          <w:rFonts w:eastAsia="Cambria"/>
          <w:sz w:val="24"/>
          <w:szCs w:val="24"/>
        </w:rPr>
        <w:t> </w:t>
      </w:r>
      <w:r w:rsidRPr="00DD51CE">
        <w:rPr>
          <w:rFonts w:eastAsia="Cambria"/>
          <w:sz w:val="24"/>
          <w:szCs w:val="24"/>
        </w:rPr>
        <w:t>EU fondů tím, že</w:t>
      </w:r>
      <w:r w:rsidR="00EB481E" w:rsidRPr="00DD51CE">
        <w:rPr>
          <w:rFonts w:eastAsia="Cambria"/>
          <w:sz w:val="24"/>
          <w:szCs w:val="24"/>
        </w:rPr>
        <w:t xml:space="preserve"> </w:t>
      </w:r>
      <w:r w:rsidRPr="00DD51CE">
        <w:rPr>
          <w:rFonts w:eastAsia="Cambria"/>
          <w:sz w:val="24"/>
          <w:szCs w:val="24"/>
        </w:rPr>
        <w:t>umístí alespoň 1 povinný barevný plakát, a to velikosti minimálně A3, v</w:t>
      </w:r>
      <w:r w:rsidR="001844C2" w:rsidRPr="00DD51CE">
        <w:rPr>
          <w:rFonts w:eastAsia="Cambria"/>
          <w:sz w:val="24"/>
          <w:szCs w:val="24"/>
        </w:rPr>
        <w:t> </w:t>
      </w:r>
      <w:r w:rsidRPr="00DD51CE">
        <w:rPr>
          <w:rFonts w:eastAsia="Cambria"/>
          <w:sz w:val="24"/>
          <w:szCs w:val="24"/>
        </w:rPr>
        <w:t>místě realizace dotace</w:t>
      </w:r>
      <w:r w:rsidRPr="00DD51CE">
        <w:rPr>
          <w:rFonts w:eastAsia="Cambria"/>
          <w:sz w:val="24"/>
          <w:szCs w:val="24"/>
          <w:vertAlign w:val="superscript"/>
        </w:rPr>
        <w:footnoteReference w:id="36"/>
      </w:r>
      <w:r w:rsidRPr="00DD51CE">
        <w:rPr>
          <w:rFonts w:eastAsia="Cambria"/>
          <w:sz w:val="24"/>
          <w:szCs w:val="24"/>
        </w:rPr>
        <w:t xml:space="preserve"> na snadno viditelném místě pro veřejnost, jako jsou např. vstupní prostory budovy; umístění zajistí v návaznosti na zahájení realizace a bude jej udržovat do termínu splnění účelu dotace uvedeného v Rozhodnutí; pro realizaci této aktivity Příjemce použije plakát uvedený v příloze </w:t>
      </w:r>
      <w:r w:rsidR="006A2886">
        <w:rPr>
          <w:rFonts w:eastAsia="Calibri"/>
          <w:sz w:val="24"/>
          <w:szCs w:val="24"/>
        </w:rPr>
        <w:t>Metodiky č. 12</w:t>
      </w:r>
      <w:r w:rsidR="006A2886" w:rsidRPr="00DD51CE">
        <w:rPr>
          <w:rFonts w:eastAsia="Cambria"/>
          <w:sz w:val="24"/>
          <w:szCs w:val="24"/>
          <w:vertAlign w:val="superscript"/>
        </w:rPr>
        <w:footnoteReference w:id="37"/>
      </w:r>
      <w:r w:rsidRPr="00DD51CE">
        <w:rPr>
          <w:rFonts w:eastAsia="Cambria"/>
          <w:sz w:val="24"/>
          <w:szCs w:val="24"/>
        </w:rPr>
        <w:t>, který již zahrnuje všechny povinné prvky vizuální identity OPZ.</w:t>
      </w:r>
      <w:r w:rsidRPr="00DD51CE">
        <w:rPr>
          <w:rFonts w:eastAsia="Cambria"/>
          <w:sz w:val="24"/>
          <w:szCs w:val="24"/>
        </w:rPr>
        <w:tab/>
        <w:t xml:space="preserve"> </w:t>
      </w:r>
      <w:r w:rsidRPr="00DD51CE">
        <w:rPr>
          <w:rFonts w:eastAsia="Cambria"/>
          <w:sz w:val="24"/>
          <w:szCs w:val="24"/>
        </w:rPr>
        <w:tab/>
      </w:r>
    </w:p>
    <w:p w14:paraId="305876F2" w14:textId="00E1BC38"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Během realizace účelu dotace </w:t>
      </w:r>
      <w:r w:rsidR="00F00D11" w:rsidRPr="00DD51CE">
        <w:rPr>
          <w:rFonts w:eastAsia="Cambria"/>
          <w:sz w:val="24"/>
          <w:szCs w:val="24"/>
        </w:rPr>
        <w:t>je</w:t>
      </w:r>
      <w:r w:rsidRPr="00DD51CE">
        <w:rPr>
          <w:rFonts w:eastAsia="Cambria"/>
          <w:sz w:val="24"/>
          <w:szCs w:val="24"/>
        </w:rPr>
        <w:t xml:space="preserve"> Příjemce, který je zároveň </w:t>
      </w:r>
      <w:r w:rsidR="001B2E6C" w:rsidRPr="00DD51CE">
        <w:rPr>
          <w:rFonts w:eastAsia="Cambria"/>
          <w:sz w:val="24"/>
          <w:szCs w:val="24"/>
        </w:rPr>
        <w:t>Vzdělávací</w:t>
      </w:r>
      <w:r w:rsidRPr="00DD51CE">
        <w:rPr>
          <w:rFonts w:eastAsia="Cambria"/>
          <w:sz w:val="24"/>
          <w:szCs w:val="24"/>
        </w:rPr>
        <w:t xml:space="preserve">m </w:t>
      </w:r>
      <w:r w:rsidRPr="0027623F">
        <w:rPr>
          <w:sz w:val="24"/>
          <w:szCs w:val="24"/>
        </w:rPr>
        <w:t>pracovištěm</w:t>
      </w:r>
      <w:r w:rsidR="002C7DFC">
        <w:rPr>
          <w:sz w:val="24"/>
          <w:szCs w:val="24"/>
        </w:rPr>
        <w:t>,</w:t>
      </w:r>
      <w:r w:rsidRPr="00DD51CE">
        <w:rPr>
          <w:rFonts w:eastAsia="Cambria"/>
          <w:sz w:val="24"/>
          <w:szCs w:val="24"/>
        </w:rPr>
        <w:t xml:space="preserve"> dále </w:t>
      </w:r>
      <w:r w:rsidR="00F00D11" w:rsidRPr="00DD51CE">
        <w:rPr>
          <w:rFonts w:eastAsia="Cambria"/>
          <w:sz w:val="24"/>
          <w:szCs w:val="24"/>
        </w:rPr>
        <w:t>povinen</w:t>
      </w:r>
      <w:r w:rsidRPr="00DD51CE">
        <w:rPr>
          <w:rFonts w:eastAsia="Cambria"/>
          <w:sz w:val="24"/>
          <w:szCs w:val="24"/>
        </w:rPr>
        <w:t>:</w:t>
      </w:r>
    </w:p>
    <w:p w14:paraId="4CD7EC3E" w14:textId="02BD6763" w:rsidR="004255D9" w:rsidRPr="00DD51CE" w:rsidRDefault="006733FC" w:rsidP="00DE45DF">
      <w:pPr>
        <w:widowControl/>
        <w:numPr>
          <w:ilvl w:val="1"/>
          <w:numId w:val="3"/>
        </w:numPr>
        <w:spacing w:before="240" w:after="120" w:line="240" w:lineRule="auto"/>
        <w:jc w:val="both"/>
        <w:rPr>
          <w:rFonts w:eastAsia="Cambria"/>
          <w:sz w:val="24"/>
          <w:szCs w:val="24"/>
        </w:rPr>
      </w:pPr>
      <w:r w:rsidRPr="00DD51CE">
        <w:rPr>
          <w:rFonts w:eastAsia="Cambria"/>
          <w:sz w:val="24"/>
          <w:szCs w:val="24"/>
        </w:rPr>
        <w:t xml:space="preserve">označit dokumenty určené pro účastníky </w:t>
      </w:r>
      <w:r w:rsidR="00535A03">
        <w:rPr>
          <w:rFonts w:eastAsia="Cambria"/>
          <w:sz w:val="24"/>
          <w:szCs w:val="24"/>
        </w:rPr>
        <w:t>P</w:t>
      </w:r>
      <w:r w:rsidR="00B0657C" w:rsidRPr="00DD51CE">
        <w:rPr>
          <w:rFonts w:eastAsia="Cambria"/>
          <w:sz w:val="24"/>
          <w:szCs w:val="24"/>
        </w:rPr>
        <w:t>rojekt</w:t>
      </w:r>
      <w:r w:rsidRPr="00DD51CE">
        <w:rPr>
          <w:rFonts w:eastAsia="Cambria"/>
          <w:sz w:val="24"/>
          <w:szCs w:val="24"/>
        </w:rPr>
        <w:t>u (tj. zejména prezenční listiny, školicí materiály, které Příjemce vytvořil nebo nechal vytvořit pro vzdělávací aktivity apod.) povinnými prvky vizuální identity OPZ</w:t>
      </w:r>
      <w:r w:rsidRPr="00DD51CE">
        <w:rPr>
          <w:rFonts w:eastAsia="Cambria"/>
          <w:sz w:val="24"/>
          <w:szCs w:val="24"/>
          <w:vertAlign w:val="superscript"/>
        </w:rPr>
        <w:footnoteReference w:id="38"/>
      </w:r>
      <w:r w:rsidRPr="00DD51CE">
        <w:rPr>
          <w:rFonts w:eastAsia="Cambria"/>
          <w:sz w:val="24"/>
          <w:szCs w:val="24"/>
        </w:rPr>
        <w:t xml:space="preserve">, označení logem MZ není povinné; </w:t>
      </w:r>
    </w:p>
    <w:p w14:paraId="128EE78F" w14:textId="466EEBB3" w:rsidR="004255D9" w:rsidRPr="00DD51CE" w:rsidRDefault="006733FC" w:rsidP="00DE45DF">
      <w:pPr>
        <w:widowControl/>
        <w:numPr>
          <w:ilvl w:val="1"/>
          <w:numId w:val="3"/>
        </w:numPr>
        <w:spacing w:before="240" w:after="120" w:line="240" w:lineRule="auto"/>
        <w:jc w:val="both"/>
        <w:rPr>
          <w:rFonts w:eastAsia="Cambria"/>
          <w:sz w:val="24"/>
          <w:szCs w:val="24"/>
        </w:rPr>
      </w:pPr>
      <w:r w:rsidRPr="00DD51CE">
        <w:rPr>
          <w:rFonts w:eastAsia="Cambria"/>
          <w:sz w:val="24"/>
          <w:szCs w:val="24"/>
        </w:rPr>
        <w:t>označit školicí místnosti/prostory, ve kterých probíhají vzdělávací aktivity</w:t>
      </w:r>
      <w:r w:rsidRPr="00DD51CE">
        <w:rPr>
          <w:rFonts w:eastAsia="Cambria"/>
          <w:sz w:val="24"/>
          <w:szCs w:val="24"/>
          <w:vertAlign w:val="superscript"/>
        </w:rPr>
        <w:footnoteReference w:id="39"/>
      </w:r>
      <w:r w:rsidRPr="00DD51CE">
        <w:rPr>
          <w:rFonts w:eastAsia="Cambria"/>
          <w:sz w:val="24"/>
          <w:szCs w:val="24"/>
        </w:rPr>
        <w:t>, a to</w:t>
      </w:r>
      <w:r w:rsidR="002C7DFC">
        <w:rPr>
          <w:rFonts w:eastAsia="Cambria"/>
          <w:sz w:val="24"/>
          <w:szCs w:val="24"/>
        </w:rPr>
        <w:t xml:space="preserve"> tak</w:t>
      </w:r>
      <w:r w:rsidRPr="00DD51CE">
        <w:rPr>
          <w:rFonts w:eastAsia="Cambria"/>
          <w:sz w:val="24"/>
          <w:szCs w:val="24"/>
        </w:rPr>
        <w:t>, že ve školicí místnosti</w:t>
      </w:r>
      <w:r w:rsidR="00983B27">
        <w:rPr>
          <w:rFonts w:eastAsia="Cambria"/>
          <w:sz w:val="24"/>
          <w:szCs w:val="24"/>
        </w:rPr>
        <w:t xml:space="preserve"> </w:t>
      </w:r>
      <w:r w:rsidRPr="00DD51CE">
        <w:rPr>
          <w:rFonts w:eastAsia="Cambria"/>
          <w:sz w:val="24"/>
          <w:szCs w:val="24"/>
        </w:rPr>
        <w:t>/</w:t>
      </w:r>
      <w:r w:rsidR="00983B27">
        <w:rPr>
          <w:rFonts w:eastAsia="Cambria"/>
          <w:sz w:val="24"/>
          <w:szCs w:val="24"/>
        </w:rPr>
        <w:t xml:space="preserve"> </w:t>
      </w:r>
      <w:r w:rsidRPr="00DD51CE">
        <w:rPr>
          <w:rFonts w:eastAsia="Cambria"/>
          <w:sz w:val="24"/>
          <w:szCs w:val="24"/>
        </w:rPr>
        <w:t xml:space="preserve">školicích prostorách umístí barevný plakát uvedený v příloze </w:t>
      </w:r>
      <w:r w:rsidR="006A2886">
        <w:rPr>
          <w:rFonts w:eastAsia="Cambria"/>
          <w:sz w:val="24"/>
          <w:szCs w:val="24"/>
        </w:rPr>
        <w:t>Metodiky č. 12</w:t>
      </w:r>
      <w:r w:rsidRPr="00DD51CE">
        <w:rPr>
          <w:rFonts w:eastAsia="Cambria"/>
          <w:sz w:val="24"/>
          <w:szCs w:val="24"/>
        </w:rPr>
        <w:t xml:space="preserve">. </w:t>
      </w:r>
      <w:r w:rsidRPr="00DD51CE">
        <w:rPr>
          <w:rFonts w:eastAsia="Cambria"/>
          <w:sz w:val="24"/>
          <w:szCs w:val="24"/>
        </w:rPr>
        <w:tab/>
      </w:r>
    </w:p>
    <w:p w14:paraId="0F56150C" w14:textId="77777777"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27623F">
        <w:rPr>
          <w:sz w:val="24"/>
          <w:szCs w:val="24"/>
        </w:rPr>
        <w:t>Příjemce</w:t>
      </w:r>
      <w:r w:rsidRPr="00DD51CE">
        <w:rPr>
          <w:rFonts w:eastAsia="Cambria"/>
          <w:sz w:val="24"/>
          <w:szCs w:val="24"/>
        </w:rPr>
        <w:t xml:space="preserve"> předkládá podklady na formulářích stanovených MZ, pokud není uvedeno jinak. Tyto formuláře již obsahují následující povinné prvky vizuální identity OPZ.</w:t>
      </w:r>
    </w:p>
    <w:p w14:paraId="74721465" w14:textId="77777777"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Povinné prvky vizuální identity OPZ jsou následující a jsou ke stažení na stránkách </w:t>
      </w:r>
      <w:r w:rsidRPr="00DD51CE">
        <w:rPr>
          <w:rFonts w:eastAsia="Cambria"/>
          <w:color w:val="0070C0"/>
          <w:sz w:val="24"/>
          <w:szCs w:val="24"/>
        </w:rPr>
        <w:t>www.esfcr.cz</w:t>
      </w:r>
      <w:r w:rsidRPr="00DD51CE">
        <w:rPr>
          <w:rFonts w:eastAsia="Cambria"/>
          <w:sz w:val="24"/>
          <w:szCs w:val="24"/>
        </w:rPr>
        <w:t xml:space="preserve">: </w:t>
      </w:r>
    </w:p>
    <w:p w14:paraId="578558E2" w14:textId="77777777" w:rsidR="004255D9" w:rsidRPr="00DD51CE" w:rsidRDefault="006733FC" w:rsidP="00DE45DF">
      <w:pPr>
        <w:widowControl/>
        <w:numPr>
          <w:ilvl w:val="1"/>
          <w:numId w:val="15"/>
        </w:numPr>
        <w:spacing w:after="120" w:line="240" w:lineRule="auto"/>
        <w:jc w:val="both"/>
        <w:rPr>
          <w:rFonts w:eastAsia="Cambria"/>
          <w:sz w:val="24"/>
          <w:szCs w:val="24"/>
        </w:rPr>
      </w:pPr>
      <w:r w:rsidRPr="00DD51CE">
        <w:rPr>
          <w:rFonts w:eastAsia="Cambria"/>
          <w:sz w:val="24"/>
          <w:szCs w:val="24"/>
        </w:rPr>
        <w:t xml:space="preserve">znak EU a odkaz „Evropská unie“; </w:t>
      </w:r>
    </w:p>
    <w:p w14:paraId="31AFA90C" w14:textId="77777777" w:rsidR="004255D9" w:rsidRPr="00DD51CE" w:rsidRDefault="006733FC" w:rsidP="00DE45DF">
      <w:pPr>
        <w:widowControl/>
        <w:numPr>
          <w:ilvl w:val="1"/>
          <w:numId w:val="15"/>
        </w:numPr>
        <w:spacing w:after="120" w:line="240" w:lineRule="auto"/>
        <w:jc w:val="both"/>
        <w:rPr>
          <w:rFonts w:eastAsia="Cambria"/>
          <w:sz w:val="24"/>
          <w:szCs w:val="24"/>
        </w:rPr>
      </w:pPr>
      <w:r w:rsidRPr="00DD51CE">
        <w:rPr>
          <w:rFonts w:eastAsia="Cambria"/>
          <w:sz w:val="24"/>
          <w:szCs w:val="24"/>
        </w:rPr>
        <w:t>odkaz „Evropský sociální fond“;</w:t>
      </w:r>
    </w:p>
    <w:p w14:paraId="3AF50E1F" w14:textId="77777777" w:rsidR="004255D9" w:rsidRPr="00DD51CE" w:rsidRDefault="006733FC" w:rsidP="00DE45DF">
      <w:pPr>
        <w:widowControl/>
        <w:numPr>
          <w:ilvl w:val="1"/>
          <w:numId w:val="15"/>
        </w:numPr>
        <w:spacing w:after="120" w:line="240" w:lineRule="auto"/>
        <w:jc w:val="both"/>
        <w:rPr>
          <w:rFonts w:eastAsia="Cambria"/>
          <w:sz w:val="24"/>
          <w:szCs w:val="24"/>
        </w:rPr>
      </w:pPr>
      <w:r w:rsidRPr="00DD51CE">
        <w:rPr>
          <w:rFonts w:eastAsia="Cambria"/>
          <w:sz w:val="24"/>
          <w:szCs w:val="24"/>
        </w:rPr>
        <w:t>odkaz „Operační program Zaměstnanost“.</w:t>
      </w:r>
    </w:p>
    <w:p w14:paraId="662B9027" w14:textId="4699A2A4" w:rsidR="004255D9" w:rsidRPr="00DD51CE" w:rsidRDefault="006733FC" w:rsidP="00DD51CE">
      <w:pPr>
        <w:widowControl/>
        <w:spacing w:before="240" w:after="120" w:line="240" w:lineRule="auto"/>
        <w:ind w:left="360"/>
        <w:jc w:val="both"/>
        <w:rPr>
          <w:rFonts w:eastAsia="Cambria"/>
          <w:sz w:val="24"/>
          <w:szCs w:val="24"/>
        </w:rPr>
      </w:pPr>
      <w:r w:rsidRPr="00E972F3">
        <w:rPr>
          <w:rFonts w:eastAsia="Cambria"/>
          <w:sz w:val="24"/>
          <w:szCs w:val="24"/>
        </w:rPr>
        <w:t xml:space="preserve">Logo MZ je ke stažení na: </w:t>
      </w:r>
      <w:hyperlink r:id="rId11">
        <w:r w:rsidRPr="00E972F3">
          <w:rPr>
            <w:rFonts w:eastAsia="Cambria"/>
            <w:sz w:val="24"/>
            <w:szCs w:val="24"/>
          </w:rPr>
          <w:t>www.mzcr.cz</w:t>
        </w:r>
      </w:hyperlink>
      <w:r w:rsidRPr="00E972F3">
        <w:rPr>
          <w:rFonts w:eastAsia="Cambria"/>
          <w:sz w:val="24"/>
          <w:szCs w:val="24"/>
        </w:rPr>
        <w:t xml:space="preserve"> v sekci Evropské fondy</w:t>
      </w:r>
      <w:r w:rsidR="00E972F3" w:rsidRPr="00E972F3">
        <w:rPr>
          <w:rFonts w:eastAsia="Cambria"/>
          <w:sz w:val="24"/>
          <w:szCs w:val="24"/>
        </w:rPr>
        <w:t xml:space="preserve"> </w:t>
      </w:r>
      <w:r w:rsidRPr="00E972F3">
        <w:rPr>
          <w:rFonts w:eastAsia="Cambria"/>
          <w:sz w:val="24"/>
          <w:szCs w:val="24"/>
        </w:rPr>
        <w:t>/</w:t>
      </w:r>
      <w:r w:rsidR="00E972F3" w:rsidRPr="00E972F3">
        <w:rPr>
          <w:rFonts w:eastAsia="Cambria"/>
          <w:sz w:val="24"/>
          <w:szCs w:val="24"/>
        </w:rPr>
        <w:t xml:space="preserve"> </w:t>
      </w:r>
      <w:r w:rsidRPr="00E972F3">
        <w:rPr>
          <w:rFonts w:eastAsia="Cambria"/>
          <w:sz w:val="24"/>
          <w:szCs w:val="24"/>
        </w:rPr>
        <w:t>2014</w:t>
      </w:r>
      <w:r w:rsidR="00E972F3">
        <w:rPr>
          <w:rFonts w:eastAsia="Cambria"/>
          <w:sz w:val="24"/>
          <w:szCs w:val="24"/>
        </w:rPr>
        <w:t>-</w:t>
      </w:r>
      <w:r w:rsidRPr="00E972F3">
        <w:rPr>
          <w:rFonts w:eastAsia="Cambria"/>
          <w:sz w:val="24"/>
          <w:szCs w:val="24"/>
        </w:rPr>
        <w:t>2020 Reforma psychiatrie</w:t>
      </w:r>
      <w:r w:rsidR="00E972F3" w:rsidRPr="00E972F3">
        <w:rPr>
          <w:rFonts w:eastAsia="Cambria"/>
          <w:sz w:val="24"/>
          <w:szCs w:val="24"/>
        </w:rPr>
        <w:t xml:space="preserve"> </w:t>
      </w:r>
      <w:r w:rsidRPr="00E972F3">
        <w:rPr>
          <w:rFonts w:eastAsia="Cambria"/>
          <w:sz w:val="24"/>
          <w:szCs w:val="24"/>
        </w:rPr>
        <w:t>/</w:t>
      </w:r>
      <w:r w:rsidR="00E972F3" w:rsidRPr="00E972F3">
        <w:rPr>
          <w:rFonts w:eastAsia="Cambria"/>
          <w:sz w:val="24"/>
          <w:szCs w:val="24"/>
        </w:rPr>
        <w:t xml:space="preserve"> </w:t>
      </w:r>
      <w:r w:rsidRPr="00E972F3">
        <w:rPr>
          <w:rFonts w:eastAsia="Cambria"/>
          <w:sz w:val="24"/>
          <w:szCs w:val="24"/>
        </w:rPr>
        <w:t>Podpora vzniku Center duševního zdraví I</w:t>
      </w:r>
      <w:r w:rsidR="00E972F3" w:rsidRPr="00E972F3">
        <w:rPr>
          <w:rFonts w:eastAsia="Cambria"/>
          <w:sz w:val="24"/>
          <w:szCs w:val="24"/>
        </w:rPr>
        <w:t xml:space="preserve"> / Pro př</w:t>
      </w:r>
      <w:r w:rsidR="00E972F3">
        <w:rPr>
          <w:rFonts w:eastAsia="Cambria"/>
          <w:sz w:val="24"/>
          <w:szCs w:val="24"/>
        </w:rPr>
        <w:t>í</w:t>
      </w:r>
      <w:r w:rsidR="00E972F3" w:rsidRPr="00E972F3">
        <w:rPr>
          <w:rFonts w:eastAsia="Cambria"/>
          <w:sz w:val="24"/>
          <w:szCs w:val="24"/>
        </w:rPr>
        <w:t>jemce</w:t>
      </w:r>
      <w:r w:rsidRPr="00E972F3">
        <w:rPr>
          <w:rFonts w:eastAsia="Cambria"/>
          <w:sz w:val="24"/>
          <w:szCs w:val="24"/>
        </w:rPr>
        <w:t>.</w:t>
      </w:r>
    </w:p>
    <w:p w14:paraId="0FD2AD41" w14:textId="77777777" w:rsidR="0027623F" w:rsidRDefault="006733FC" w:rsidP="00DD51CE">
      <w:pPr>
        <w:widowControl/>
        <w:spacing w:before="240" w:after="120" w:line="240" w:lineRule="auto"/>
        <w:ind w:left="360"/>
        <w:jc w:val="both"/>
        <w:rPr>
          <w:rFonts w:eastAsia="Cambria"/>
          <w:sz w:val="24"/>
          <w:szCs w:val="24"/>
        </w:rPr>
      </w:pPr>
      <w:r w:rsidRPr="00DD51CE">
        <w:rPr>
          <w:rFonts w:eastAsia="Cambria"/>
          <w:sz w:val="24"/>
          <w:szCs w:val="24"/>
        </w:rPr>
        <w:t xml:space="preserve">Povinné prvky vizuální identity OPZ a jejich technické parametry, které je </w:t>
      </w:r>
      <w:r w:rsidR="003458D3" w:rsidRPr="00DD51CE">
        <w:rPr>
          <w:rFonts w:eastAsia="Cambria"/>
          <w:sz w:val="24"/>
          <w:szCs w:val="24"/>
        </w:rPr>
        <w:t>P</w:t>
      </w:r>
      <w:r w:rsidRPr="00DD51CE">
        <w:rPr>
          <w:rFonts w:eastAsia="Cambria"/>
          <w:sz w:val="24"/>
          <w:szCs w:val="24"/>
        </w:rPr>
        <w:t>říjemce povinen dodržet, jsou popsány v kapitole 19.3 v 10. vydání v dokumentu „Obecná část pravidel pro žadatele a příjemce v rámci OPZ”, který je ke stažení na stránkách na www.esfcr.cz.</w:t>
      </w:r>
      <w:r w:rsidRPr="00DD51CE">
        <w:rPr>
          <w:rFonts w:eastAsia="Cambria"/>
          <w:sz w:val="24"/>
          <w:szCs w:val="24"/>
          <w:vertAlign w:val="superscript"/>
        </w:rPr>
        <w:footnoteReference w:id="40"/>
      </w:r>
      <w:r w:rsidR="0027623F">
        <w:rPr>
          <w:rFonts w:eastAsia="Cambria"/>
          <w:sz w:val="24"/>
          <w:szCs w:val="24"/>
        </w:rPr>
        <w:t xml:space="preserve"> </w:t>
      </w:r>
    </w:p>
    <w:p w14:paraId="38E0F1FD" w14:textId="0C75EB3C" w:rsidR="004255D9" w:rsidRPr="00B930FE" w:rsidRDefault="006733FC" w:rsidP="00B930FE">
      <w:pPr>
        <w:pStyle w:val="Nadpis1"/>
      </w:pPr>
      <w:bookmarkStart w:id="38" w:name="_Toc32407810"/>
      <w:r w:rsidRPr="00B930FE">
        <w:lastRenderedPageBreak/>
        <w:t>5. ZMĚNY</w:t>
      </w:r>
      <w:bookmarkEnd w:id="38"/>
    </w:p>
    <w:p w14:paraId="00B0C53C" w14:textId="35A8BE6F" w:rsidR="001844C2" w:rsidRPr="00B930FE" w:rsidRDefault="001844C2" w:rsidP="00B930FE">
      <w:pPr>
        <w:pStyle w:val="Nadpis2"/>
      </w:pPr>
      <w:bookmarkStart w:id="39" w:name="_Toc32407811"/>
      <w:r w:rsidRPr="00B930FE">
        <w:t xml:space="preserve">5.1 </w:t>
      </w:r>
      <w:r w:rsidR="00BB174D" w:rsidRPr="00B930FE">
        <w:t>OBECNÉ INFORMACE KE ZMĚNÁM</w:t>
      </w:r>
      <w:bookmarkEnd w:id="39"/>
    </w:p>
    <w:p w14:paraId="28B04A6B" w14:textId="7D322820" w:rsidR="004255D9" w:rsidRPr="00DD51CE" w:rsidRDefault="006733FC" w:rsidP="00DE45DF">
      <w:pPr>
        <w:widowControl/>
        <w:numPr>
          <w:ilvl w:val="0"/>
          <w:numId w:val="10"/>
        </w:numPr>
        <w:spacing w:after="120" w:line="240" w:lineRule="auto"/>
        <w:ind w:left="414" w:hanging="357"/>
        <w:jc w:val="both"/>
        <w:rPr>
          <w:rFonts w:eastAsia="Calibri"/>
          <w:sz w:val="24"/>
          <w:szCs w:val="24"/>
        </w:rPr>
      </w:pPr>
      <w:r w:rsidRPr="00DD51CE">
        <w:rPr>
          <w:rFonts w:eastAsia="Times New Roman"/>
          <w:sz w:val="24"/>
          <w:szCs w:val="24"/>
        </w:rPr>
        <w:t>Specializační vzdělávání musí být realizováno v souladu s vydaným Rozhodnutím a</w:t>
      </w:r>
      <w:r w:rsidR="001844C2" w:rsidRPr="00DD51CE">
        <w:rPr>
          <w:rFonts w:eastAsia="Times New Roman"/>
          <w:sz w:val="24"/>
          <w:szCs w:val="24"/>
        </w:rPr>
        <w:t> </w:t>
      </w:r>
      <w:r w:rsidRPr="00DD51CE">
        <w:rPr>
          <w:rFonts w:eastAsia="Times New Roman"/>
          <w:sz w:val="24"/>
          <w:szCs w:val="24"/>
        </w:rPr>
        <w:t>v</w:t>
      </w:r>
      <w:r w:rsidR="001844C2" w:rsidRPr="00DD51CE">
        <w:rPr>
          <w:rFonts w:eastAsia="Times New Roman"/>
          <w:sz w:val="24"/>
          <w:szCs w:val="24"/>
        </w:rPr>
        <w:t> </w:t>
      </w:r>
      <w:r w:rsidRPr="00DD51CE">
        <w:rPr>
          <w:rFonts w:eastAsia="Times New Roman"/>
          <w:sz w:val="24"/>
          <w:szCs w:val="24"/>
        </w:rPr>
        <w:t xml:space="preserve">souladu se schválenou Žádostí o </w:t>
      </w:r>
      <w:r w:rsidR="00535A03">
        <w:rPr>
          <w:rFonts w:eastAsia="Times New Roman"/>
          <w:sz w:val="24"/>
          <w:szCs w:val="24"/>
        </w:rPr>
        <w:t xml:space="preserve">poskytnutí </w:t>
      </w:r>
      <w:r w:rsidRPr="00DD51CE">
        <w:rPr>
          <w:rFonts w:eastAsia="Times New Roman"/>
          <w:sz w:val="24"/>
          <w:szCs w:val="24"/>
        </w:rPr>
        <w:t>dotac</w:t>
      </w:r>
      <w:r w:rsidR="00535A03">
        <w:rPr>
          <w:rFonts w:eastAsia="Times New Roman"/>
          <w:sz w:val="24"/>
          <w:szCs w:val="24"/>
        </w:rPr>
        <w:t>e</w:t>
      </w:r>
      <w:r w:rsidRPr="00DD51CE">
        <w:rPr>
          <w:rFonts w:eastAsia="Times New Roman"/>
          <w:sz w:val="24"/>
          <w:szCs w:val="24"/>
        </w:rPr>
        <w:t xml:space="preserve">. </w:t>
      </w:r>
    </w:p>
    <w:p w14:paraId="0E23C264" w14:textId="77777777" w:rsidR="004255D9" w:rsidRPr="00DD51CE" w:rsidRDefault="006733FC" w:rsidP="00DE45DF">
      <w:pPr>
        <w:widowControl/>
        <w:numPr>
          <w:ilvl w:val="0"/>
          <w:numId w:val="10"/>
        </w:numPr>
        <w:spacing w:after="120" w:line="240" w:lineRule="auto"/>
        <w:ind w:left="414" w:hanging="357"/>
        <w:jc w:val="both"/>
        <w:rPr>
          <w:rFonts w:eastAsia="Times New Roman"/>
          <w:sz w:val="24"/>
          <w:szCs w:val="24"/>
        </w:rPr>
      </w:pPr>
      <w:r w:rsidRPr="00DD51CE">
        <w:rPr>
          <w:rFonts w:eastAsia="Times New Roman"/>
          <w:sz w:val="24"/>
          <w:szCs w:val="24"/>
        </w:rPr>
        <w:t xml:space="preserve">Příjemce je povinen bez zbytečného odkladu oznámit MZ veškeré skutečnosti, které mohou mít vliv na plnění účelu dotace uvedeném v Rozhodnutí a další důležité informace; resp. požádat o změnu Rozhodnutí. </w:t>
      </w:r>
    </w:p>
    <w:p w14:paraId="0CE52FCD" w14:textId="77777777" w:rsidR="004255D9" w:rsidRPr="00DD51CE" w:rsidRDefault="006733FC" w:rsidP="00DE45DF">
      <w:pPr>
        <w:widowControl/>
        <w:numPr>
          <w:ilvl w:val="0"/>
          <w:numId w:val="10"/>
        </w:numPr>
        <w:spacing w:after="120" w:line="240" w:lineRule="auto"/>
        <w:ind w:left="414" w:hanging="357"/>
        <w:jc w:val="both"/>
        <w:rPr>
          <w:rFonts w:eastAsia="Calibri"/>
          <w:sz w:val="24"/>
          <w:szCs w:val="24"/>
        </w:rPr>
      </w:pPr>
      <w:r w:rsidRPr="00DD51CE">
        <w:rPr>
          <w:rFonts w:eastAsia="Times New Roman"/>
          <w:sz w:val="24"/>
          <w:szCs w:val="24"/>
        </w:rPr>
        <w:t>V průběhu plnění účelu dotace však mohou nastat změny, které jsou členě</w:t>
      </w:r>
      <w:r w:rsidRPr="00DD51CE">
        <w:rPr>
          <w:rFonts w:eastAsia="Calibri"/>
          <w:sz w:val="24"/>
          <w:szCs w:val="24"/>
        </w:rPr>
        <w:t xml:space="preserve">ny </w:t>
      </w:r>
      <w:r w:rsidRPr="00DD51CE">
        <w:rPr>
          <w:rFonts w:eastAsia="Times New Roman"/>
          <w:sz w:val="24"/>
          <w:szCs w:val="24"/>
        </w:rPr>
        <w:t>podle dvou kritérií:</w:t>
      </w:r>
    </w:p>
    <w:p w14:paraId="4F678B29" w14:textId="77777777" w:rsidR="004255D9" w:rsidRPr="00DD51CE" w:rsidRDefault="006733FC" w:rsidP="00DE45DF">
      <w:pPr>
        <w:widowControl/>
        <w:numPr>
          <w:ilvl w:val="0"/>
          <w:numId w:val="20"/>
        </w:numPr>
        <w:spacing w:after="120" w:line="240" w:lineRule="auto"/>
        <w:jc w:val="both"/>
        <w:rPr>
          <w:rFonts w:eastAsia="Times New Roman"/>
          <w:sz w:val="24"/>
          <w:szCs w:val="24"/>
        </w:rPr>
      </w:pPr>
      <w:r w:rsidRPr="00DD51CE">
        <w:rPr>
          <w:rFonts w:eastAsia="Times New Roman"/>
          <w:sz w:val="24"/>
          <w:szCs w:val="24"/>
        </w:rPr>
        <w:t>Změny, u kterých je nutný předchozí souhlas MZ a změny, u kterých předchozí souhlas MZ nutný není;</w:t>
      </w:r>
    </w:p>
    <w:p w14:paraId="52528CDE" w14:textId="77777777" w:rsidR="004255D9" w:rsidRPr="00DD51CE" w:rsidRDefault="006733FC" w:rsidP="00DE45DF">
      <w:pPr>
        <w:widowControl/>
        <w:numPr>
          <w:ilvl w:val="0"/>
          <w:numId w:val="20"/>
        </w:numPr>
        <w:spacing w:after="120" w:line="240" w:lineRule="auto"/>
        <w:jc w:val="both"/>
        <w:rPr>
          <w:rFonts w:eastAsia="Times New Roman"/>
          <w:sz w:val="24"/>
          <w:szCs w:val="24"/>
        </w:rPr>
      </w:pPr>
      <w:r w:rsidRPr="00DD51CE">
        <w:rPr>
          <w:rFonts w:eastAsia="Times New Roman"/>
          <w:sz w:val="24"/>
          <w:szCs w:val="24"/>
        </w:rPr>
        <w:t>Změny, které vedou</w:t>
      </w:r>
      <w:r w:rsidRPr="00DD51CE">
        <w:rPr>
          <w:rFonts w:eastAsia="Times New Roman"/>
          <w:sz w:val="24"/>
          <w:szCs w:val="24"/>
          <w:vertAlign w:val="superscript"/>
        </w:rPr>
        <w:footnoteReference w:id="41"/>
      </w:r>
      <w:r w:rsidRPr="00DD51CE">
        <w:rPr>
          <w:rFonts w:eastAsia="Times New Roman"/>
          <w:sz w:val="24"/>
          <w:szCs w:val="24"/>
        </w:rPr>
        <w:t xml:space="preserve"> ke změně Rozhodnutí a změny, které ke změně Rozhodnutí nevedou</w:t>
      </w:r>
      <w:r w:rsidRPr="00DD51CE">
        <w:rPr>
          <w:rFonts w:eastAsia="Times New Roman"/>
          <w:sz w:val="24"/>
          <w:szCs w:val="24"/>
          <w:vertAlign w:val="superscript"/>
        </w:rPr>
        <w:footnoteReference w:id="42"/>
      </w:r>
      <w:r w:rsidRPr="00DD51CE">
        <w:rPr>
          <w:rFonts w:eastAsia="Times New Roman"/>
          <w:sz w:val="24"/>
          <w:szCs w:val="24"/>
        </w:rPr>
        <w:t xml:space="preserve">. </w:t>
      </w:r>
    </w:p>
    <w:p w14:paraId="43F30CD8" w14:textId="7C524406" w:rsidR="004255D9" w:rsidRPr="00DD51CE" w:rsidRDefault="006733FC" w:rsidP="00DE45DF">
      <w:pPr>
        <w:widowControl/>
        <w:numPr>
          <w:ilvl w:val="0"/>
          <w:numId w:val="10"/>
        </w:numPr>
        <w:pBdr>
          <w:top w:val="nil"/>
          <w:left w:val="nil"/>
          <w:bottom w:val="nil"/>
          <w:right w:val="nil"/>
          <w:between w:val="nil"/>
        </w:pBdr>
        <w:spacing w:after="120" w:line="240" w:lineRule="auto"/>
        <w:ind w:left="414" w:hanging="357"/>
        <w:jc w:val="both"/>
        <w:rPr>
          <w:rFonts w:eastAsia="Times New Roman"/>
          <w:sz w:val="24"/>
          <w:szCs w:val="24"/>
        </w:rPr>
      </w:pPr>
      <w:r w:rsidRPr="00DD51CE">
        <w:rPr>
          <w:rFonts w:eastAsia="Times New Roman"/>
          <w:sz w:val="24"/>
          <w:szCs w:val="24"/>
        </w:rPr>
        <w:t>Změny jsou hlášeny bez zbytečného odkladu</w:t>
      </w:r>
      <w:r w:rsidRPr="00DD51CE">
        <w:rPr>
          <w:rFonts w:eastAsia="Times New Roman"/>
          <w:sz w:val="24"/>
          <w:szCs w:val="24"/>
          <w:vertAlign w:val="superscript"/>
        </w:rPr>
        <w:footnoteReference w:id="43"/>
      </w:r>
      <w:r w:rsidRPr="00DD51CE">
        <w:rPr>
          <w:rFonts w:eastAsia="Times New Roman"/>
          <w:sz w:val="24"/>
          <w:szCs w:val="24"/>
        </w:rPr>
        <w:t xml:space="preserve"> na formuláři Změny (formulář viz příloha</w:t>
      </w:r>
      <w:r w:rsidR="006A2886">
        <w:rPr>
          <w:rFonts w:eastAsia="Times New Roman"/>
          <w:sz w:val="24"/>
          <w:szCs w:val="24"/>
        </w:rPr>
        <w:t xml:space="preserve"> Metodiky č. 10</w:t>
      </w:r>
      <w:r w:rsidRPr="00DD51CE">
        <w:rPr>
          <w:rFonts w:eastAsia="Times New Roman"/>
          <w:sz w:val="24"/>
          <w:szCs w:val="24"/>
        </w:rPr>
        <w:t xml:space="preserve">). </w:t>
      </w:r>
      <w:r w:rsidRPr="00184708">
        <w:rPr>
          <w:rFonts w:eastAsia="Times New Roman"/>
          <w:sz w:val="24"/>
          <w:szCs w:val="24"/>
        </w:rPr>
        <w:t>Formulář Změny podepsaný statutárním orgánem či oprávněnou osobou</w:t>
      </w:r>
      <w:r w:rsidR="00184708" w:rsidRPr="00184708">
        <w:rPr>
          <w:rStyle w:val="Znakapoznpodarou"/>
          <w:rFonts w:eastAsia="Times New Roman"/>
          <w:sz w:val="24"/>
          <w:szCs w:val="24"/>
        </w:rPr>
        <w:footnoteReference w:id="44"/>
      </w:r>
      <w:r w:rsidRPr="00184708">
        <w:rPr>
          <w:rFonts w:eastAsia="Times New Roman"/>
          <w:sz w:val="24"/>
          <w:szCs w:val="24"/>
        </w:rPr>
        <w:t xml:space="preserve"> je doručován na adresu MZ uvedenou v Rozhodnutí, naskenovaný podepsaný dokument a případně dokument v editovatelné formě je zároveň zasílán elektronickou poštou na </w:t>
      </w:r>
      <w:r w:rsidR="007D75BF" w:rsidRPr="00184708">
        <w:rPr>
          <w:rFonts w:eastAsia="Times New Roman"/>
          <w:sz w:val="24"/>
          <w:szCs w:val="24"/>
        </w:rPr>
        <w:t>e</w:t>
      </w:r>
      <w:r w:rsidR="005A65BA" w:rsidRPr="00184708">
        <w:rPr>
          <w:rFonts w:eastAsia="Times New Roman"/>
          <w:sz w:val="24"/>
          <w:szCs w:val="24"/>
        </w:rPr>
        <w:t>-</w:t>
      </w:r>
      <w:r w:rsidR="007D75BF" w:rsidRPr="00184708">
        <w:rPr>
          <w:rFonts w:eastAsia="Times New Roman"/>
          <w:sz w:val="24"/>
          <w:szCs w:val="24"/>
        </w:rPr>
        <w:t xml:space="preserve">mailovou </w:t>
      </w:r>
      <w:r w:rsidR="001844C2" w:rsidRPr="00184708">
        <w:rPr>
          <w:rFonts w:eastAsia="Times New Roman"/>
          <w:sz w:val="24"/>
          <w:szCs w:val="24"/>
        </w:rPr>
        <w:t xml:space="preserve">adresu </w:t>
      </w:r>
      <w:hyperlink r:id="rId12" w:history="1">
        <w:r w:rsidR="00B12B16" w:rsidRPr="00184708">
          <w:rPr>
            <w:rStyle w:val="Hypertextovodkaz"/>
            <w:rFonts w:eastAsia="Times New Roman"/>
            <w:sz w:val="24"/>
            <w:szCs w:val="24"/>
          </w:rPr>
          <w:t>neurologove2@mzcr.cz</w:t>
        </w:r>
      </w:hyperlink>
      <w:r w:rsidRPr="00184708">
        <w:rPr>
          <w:rFonts w:eastAsia="Times New Roman"/>
          <w:sz w:val="24"/>
          <w:szCs w:val="24"/>
        </w:rPr>
        <w:t>. (</w:t>
      </w:r>
      <w:r w:rsidRPr="00DD51CE">
        <w:rPr>
          <w:rFonts w:eastAsia="Times New Roman"/>
          <w:sz w:val="24"/>
          <w:szCs w:val="24"/>
        </w:rPr>
        <w:t xml:space="preserve">V případě, že je </w:t>
      </w:r>
      <w:r w:rsidR="001844C2" w:rsidRPr="00DD51CE">
        <w:rPr>
          <w:rFonts w:eastAsia="Times New Roman"/>
          <w:sz w:val="24"/>
          <w:szCs w:val="24"/>
        </w:rPr>
        <w:t>formulář Změny</w:t>
      </w:r>
      <w:r w:rsidRPr="00DD51CE">
        <w:rPr>
          <w:rFonts w:eastAsia="Times New Roman"/>
          <w:sz w:val="24"/>
          <w:szCs w:val="24"/>
        </w:rPr>
        <w:t xml:space="preserve"> rovněž </w:t>
      </w:r>
      <w:r w:rsidR="00535A03">
        <w:rPr>
          <w:rFonts w:eastAsia="Times New Roman"/>
          <w:sz w:val="24"/>
          <w:szCs w:val="24"/>
        </w:rPr>
        <w:t>ž</w:t>
      </w:r>
      <w:r w:rsidRPr="00DD51CE">
        <w:rPr>
          <w:rFonts w:eastAsia="Times New Roman"/>
          <w:sz w:val="24"/>
          <w:szCs w:val="24"/>
        </w:rPr>
        <w:t>ádostí o</w:t>
      </w:r>
      <w:r w:rsidR="001844C2" w:rsidRPr="00DD51CE">
        <w:rPr>
          <w:rFonts w:eastAsia="Times New Roman"/>
          <w:sz w:val="24"/>
          <w:szCs w:val="24"/>
        </w:rPr>
        <w:t> </w:t>
      </w:r>
      <w:r w:rsidRPr="00DD51CE">
        <w:rPr>
          <w:rFonts w:eastAsia="Times New Roman"/>
          <w:sz w:val="24"/>
          <w:szCs w:val="24"/>
        </w:rPr>
        <w:t>změnu Rozhodnutí, je rovněž umožněno podání prostřednictvím datové schránky</w:t>
      </w:r>
      <w:r w:rsidR="001844C2" w:rsidRPr="00DD51CE">
        <w:rPr>
          <w:rFonts w:eastAsia="Times New Roman"/>
          <w:sz w:val="24"/>
          <w:szCs w:val="24"/>
        </w:rPr>
        <w:t xml:space="preserve"> nebo </w:t>
      </w:r>
      <w:r w:rsidRPr="00DD51CE">
        <w:rPr>
          <w:rFonts w:eastAsia="Times New Roman"/>
          <w:sz w:val="24"/>
          <w:szCs w:val="24"/>
        </w:rPr>
        <w:t xml:space="preserve">elektronicky na adresu podatelny MZ ČR.) </w:t>
      </w:r>
    </w:p>
    <w:p w14:paraId="5E409F65" w14:textId="1492DE70" w:rsidR="004255D9" w:rsidRPr="00DD51CE" w:rsidRDefault="006733FC" w:rsidP="00DE45DF">
      <w:pPr>
        <w:widowControl/>
        <w:numPr>
          <w:ilvl w:val="0"/>
          <w:numId w:val="10"/>
        </w:numPr>
        <w:spacing w:after="120" w:line="240" w:lineRule="auto"/>
        <w:ind w:left="414" w:hanging="357"/>
        <w:jc w:val="both"/>
        <w:rPr>
          <w:rFonts w:eastAsia="Times New Roman"/>
          <w:sz w:val="24"/>
          <w:szCs w:val="24"/>
        </w:rPr>
      </w:pPr>
      <w:r w:rsidRPr="00DD51CE">
        <w:rPr>
          <w:rFonts w:eastAsia="Times New Roman"/>
          <w:sz w:val="24"/>
          <w:szCs w:val="24"/>
        </w:rPr>
        <w:t>Přílohou formuláře Změny musí být i další dokumenty a doklady prokazující oprávněnost požadované změny</w:t>
      </w:r>
      <w:r w:rsidR="00184708">
        <w:rPr>
          <w:rFonts w:eastAsia="Times New Roman"/>
          <w:sz w:val="24"/>
          <w:szCs w:val="24"/>
        </w:rPr>
        <w:t>, pokud je to relevantní</w:t>
      </w:r>
      <w:r w:rsidRPr="00DD51CE">
        <w:rPr>
          <w:rFonts w:eastAsia="Times New Roman"/>
          <w:sz w:val="24"/>
          <w:szCs w:val="24"/>
        </w:rPr>
        <w:t>.</w:t>
      </w:r>
    </w:p>
    <w:p w14:paraId="702FD93A" w14:textId="77777777" w:rsidR="004255D9" w:rsidRPr="00DD51CE" w:rsidRDefault="006733FC" w:rsidP="00DE45DF">
      <w:pPr>
        <w:widowControl/>
        <w:numPr>
          <w:ilvl w:val="0"/>
          <w:numId w:val="10"/>
        </w:numPr>
        <w:pBdr>
          <w:top w:val="nil"/>
          <w:left w:val="nil"/>
          <w:bottom w:val="nil"/>
          <w:right w:val="nil"/>
          <w:between w:val="nil"/>
        </w:pBdr>
        <w:spacing w:after="120" w:line="240" w:lineRule="auto"/>
        <w:ind w:left="414" w:hanging="357"/>
        <w:jc w:val="both"/>
        <w:rPr>
          <w:rFonts w:eastAsia="Times New Roman"/>
          <w:sz w:val="24"/>
          <w:szCs w:val="24"/>
        </w:rPr>
      </w:pPr>
      <w:r w:rsidRPr="00DD51CE">
        <w:rPr>
          <w:rFonts w:eastAsia="Times New Roman"/>
          <w:sz w:val="24"/>
          <w:szCs w:val="24"/>
        </w:rPr>
        <w:t xml:space="preserve">Změna bude MZ posouzena a Příjemce bude informován, zda změna byla akceptována či ne. </w:t>
      </w:r>
    </w:p>
    <w:p w14:paraId="76AD89B7" w14:textId="139DD107" w:rsidR="004255D9" w:rsidRPr="00DD51CE" w:rsidRDefault="006733FC" w:rsidP="00DE45DF">
      <w:pPr>
        <w:widowControl/>
        <w:numPr>
          <w:ilvl w:val="0"/>
          <w:numId w:val="10"/>
        </w:numPr>
        <w:pBdr>
          <w:top w:val="nil"/>
          <w:left w:val="nil"/>
          <w:bottom w:val="nil"/>
          <w:right w:val="nil"/>
          <w:between w:val="nil"/>
        </w:pBdr>
        <w:spacing w:after="120" w:line="240" w:lineRule="auto"/>
        <w:ind w:left="414" w:hanging="357"/>
        <w:jc w:val="both"/>
        <w:rPr>
          <w:rFonts w:eastAsia="Times New Roman"/>
          <w:sz w:val="24"/>
          <w:szCs w:val="24"/>
        </w:rPr>
      </w:pPr>
      <w:r w:rsidRPr="00DD51CE">
        <w:rPr>
          <w:rFonts w:eastAsia="Times New Roman"/>
          <w:sz w:val="24"/>
          <w:szCs w:val="24"/>
        </w:rPr>
        <w:t>Dále bude u změny zhodnoceno, zda se jedná o změnu, která vede k vydání změnového Rozhodnutí, či ne. V relevantních případech pak MZ vydá změnové Rozhodnutí. V</w:t>
      </w:r>
      <w:r w:rsidR="001844C2" w:rsidRPr="00DD51CE">
        <w:rPr>
          <w:rFonts w:eastAsia="Times New Roman"/>
          <w:sz w:val="24"/>
          <w:szCs w:val="24"/>
        </w:rPr>
        <w:t> </w:t>
      </w:r>
      <w:r w:rsidRPr="00DD51CE">
        <w:rPr>
          <w:rFonts w:eastAsia="Times New Roman"/>
          <w:sz w:val="24"/>
          <w:szCs w:val="24"/>
        </w:rPr>
        <w:t xml:space="preserve">případě změny Rozhodnutí postupuje </w:t>
      </w:r>
      <w:r w:rsidR="0041553A">
        <w:rPr>
          <w:rFonts w:eastAsia="Times New Roman"/>
          <w:sz w:val="24"/>
          <w:szCs w:val="24"/>
        </w:rPr>
        <w:t>MZ</w:t>
      </w:r>
      <w:r w:rsidRPr="00DD51CE">
        <w:rPr>
          <w:rFonts w:eastAsia="Times New Roman"/>
          <w:sz w:val="24"/>
          <w:szCs w:val="24"/>
        </w:rPr>
        <w:t xml:space="preserve"> v souladu s §14o Rozpočtových pravidel.</w:t>
      </w:r>
    </w:p>
    <w:p w14:paraId="7D188EBF" w14:textId="65BC4079" w:rsidR="004255D9" w:rsidRPr="00B930FE" w:rsidRDefault="001844C2" w:rsidP="00B930FE">
      <w:pPr>
        <w:pStyle w:val="Nadpis2"/>
      </w:pPr>
      <w:bookmarkStart w:id="40" w:name="_Toc32407812"/>
      <w:r w:rsidRPr="00B930FE">
        <w:t xml:space="preserve">5.2 </w:t>
      </w:r>
      <w:r w:rsidR="00BB174D" w:rsidRPr="00B930FE">
        <w:t>ROZDĚLENÍ ZMĚN</w:t>
      </w:r>
      <w:bookmarkEnd w:id="40"/>
    </w:p>
    <w:p w14:paraId="0BEE1D71" w14:textId="4A2B8F94" w:rsidR="00CE1CE5" w:rsidRPr="00DD51CE" w:rsidRDefault="00CE1CE5" w:rsidP="005D5A41">
      <w:pPr>
        <w:spacing w:after="120" w:line="240" w:lineRule="auto"/>
        <w:jc w:val="both"/>
        <w:rPr>
          <w:sz w:val="24"/>
          <w:szCs w:val="24"/>
        </w:rPr>
      </w:pPr>
      <w:r w:rsidRPr="00DD51CE">
        <w:rPr>
          <w:sz w:val="24"/>
          <w:szCs w:val="24"/>
        </w:rPr>
        <w:t>V případě nejasností Příjemce může kontaktovat projektového a finančního manažera Projektu na MZ. Ne všechny možné změny jsou v níže uvedených tabulkách zahrnuty.</w:t>
      </w:r>
    </w:p>
    <w:p w14:paraId="30E55631" w14:textId="5B4CD511" w:rsidR="001844C2" w:rsidRPr="00B930FE" w:rsidRDefault="001844C2" w:rsidP="00B930FE">
      <w:pPr>
        <w:pStyle w:val="Nadpis3"/>
      </w:pPr>
      <w:bookmarkStart w:id="41" w:name="_Toc32407813"/>
      <w:r w:rsidRPr="00B930FE">
        <w:lastRenderedPageBreak/>
        <w:t xml:space="preserve">5.2.1 </w:t>
      </w:r>
      <w:r w:rsidR="006733FC" w:rsidRPr="00B930FE">
        <w:t>Změny, u kterých je nutný předchozí souhlas MZ</w:t>
      </w:r>
      <w:bookmarkEnd w:id="41"/>
    </w:p>
    <w:p w14:paraId="5458AAF8" w14:textId="56DFE40E" w:rsidR="001844C2" w:rsidRPr="00DD51CE" w:rsidRDefault="001844C2" w:rsidP="00DD51CE">
      <w:pPr>
        <w:widowControl/>
        <w:spacing w:after="120" w:line="240" w:lineRule="auto"/>
        <w:jc w:val="both"/>
        <w:rPr>
          <w:rFonts w:eastAsia="Times New Roman"/>
          <w:sz w:val="24"/>
          <w:szCs w:val="24"/>
        </w:rPr>
      </w:pPr>
      <w:r w:rsidRPr="00DD51CE">
        <w:rPr>
          <w:rFonts w:eastAsia="Times New Roman"/>
          <w:sz w:val="24"/>
          <w:szCs w:val="24"/>
        </w:rPr>
        <w:t>Např.</w:t>
      </w:r>
    </w:p>
    <w:tbl>
      <w:tblPr>
        <w:tblStyle w:val="a9"/>
        <w:tblW w:w="9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1417"/>
        <w:gridCol w:w="3680"/>
      </w:tblGrid>
      <w:tr w:rsidR="004255D9" w:rsidRPr="00077BD5" w14:paraId="45D5083E" w14:textId="77777777" w:rsidTr="00FF2EC9">
        <w:tc>
          <w:tcPr>
            <w:tcW w:w="4253" w:type="dxa"/>
            <w:shd w:val="clear" w:color="auto" w:fill="D9D9D9" w:themeFill="background1" w:themeFillShade="D9"/>
            <w:tcMar>
              <w:top w:w="100" w:type="dxa"/>
              <w:left w:w="100" w:type="dxa"/>
              <w:bottom w:w="100" w:type="dxa"/>
              <w:right w:w="100" w:type="dxa"/>
            </w:tcMar>
          </w:tcPr>
          <w:p w14:paraId="734164DB" w14:textId="5970C91B"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Typ změn</w:t>
            </w:r>
          </w:p>
        </w:tc>
        <w:tc>
          <w:tcPr>
            <w:tcW w:w="1417" w:type="dxa"/>
            <w:shd w:val="clear" w:color="auto" w:fill="D9D9D9" w:themeFill="background1" w:themeFillShade="D9"/>
            <w:tcMar>
              <w:top w:w="100" w:type="dxa"/>
              <w:left w:w="100" w:type="dxa"/>
              <w:bottom w:w="100" w:type="dxa"/>
              <w:right w:w="100" w:type="dxa"/>
            </w:tcMar>
          </w:tcPr>
          <w:p w14:paraId="2EC722D7" w14:textId="77777777"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Změna, která vede ke změně Rozhodnutí</w:t>
            </w:r>
          </w:p>
        </w:tc>
        <w:tc>
          <w:tcPr>
            <w:tcW w:w="3680" w:type="dxa"/>
            <w:shd w:val="clear" w:color="auto" w:fill="D9D9D9" w:themeFill="background1" w:themeFillShade="D9"/>
            <w:tcMar>
              <w:top w:w="100" w:type="dxa"/>
              <w:left w:w="100" w:type="dxa"/>
              <w:bottom w:w="100" w:type="dxa"/>
              <w:right w:w="100" w:type="dxa"/>
            </w:tcMar>
          </w:tcPr>
          <w:p w14:paraId="2890608F" w14:textId="7ED9C012"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Způsob doložení</w:t>
            </w:r>
            <w:r w:rsidR="00600A36">
              <w:rPr>
                <w:rFonts w:eastAsia="Times New Roman"/>
                <w:b/>
                <w:bCs/>
                <w:sz w:val="20"/>
                <w:szCs w:val="20"/>
              </w:rPr>
              <w:t xml:space="preserve"> </w:t>
            </w:r>
            <w:r w:rsidRPr="00077BD5">
              <w:rPr>
                <w:rFonts w:eastAsia="Times New Roman"/>
                <w:b/>
                <w:bCs/>
                <w:sz w:val="20"/>
                <w:szCs w:val="20"/>
              </w:rPr>
              <w:t>/ Další poznámky</w:t>
            </w:r>
          </w:p>
        </w:tc>
      </w:tr>
      <w:tr w:rsidR="004255D9" w:rsidRPr="002F4119" w14:paraId="4E19E244" w14:textId="77777777" w:rsidTr="00FF2EC9">
        <w:tc>
          <w:tcPr>
            <w:tcW w:w="4253" w:type="dxa"/>
            <w:shd w:val="clear" w:color="auto" w:fill="auto"/>
            <w:tcMar>
              <w:top w:w="100" w:type="dxa"/>
              <w:left w:w="100" w:type="dxa"/>
              <w:bottom w:w="100" w:type="dxa"/>
              <w:right w:w="100" w:type="dxa"/>
            </w:tcMar>
          </w:tcPr>
          <w:p w14:paraId="18AA1881" w14:textId="37774D40" w:rsidR="004255D9" w:rsidRPr="002F4119" w:rsidRDefault="00600A36" w:rsidP="00845DB5">
            <w:pPr>
              <w:widowControl/>
              <w:spacing w:after="120" w:line="240" w:lineRule="auto"/>
              <w:rPr>
                <w:rFonts w:eastAsia="Times New Roman"/>
                <w:sz w:val="20"/>
                <w:szCs w:val="20"/>
              </w:rPr>
            </w:pPr>
            <w:r>
              <w:rPr>
                <w:rFonts w:eastAsia="Times New Roman"/>
                <w:sz w:val="20"/>
                <w:szCs w:val="20"/>
              </w:rPr>
              <w:t>Z</w:t>
            </w:r>
            <w:r w:rsidR="006733FC" w:rsidRPr="002F4119">
              <w:rPr>
                <w:rFonts w:eastAsia="Times New Roman"/>
                <w:sz w:val="20"/>
                <w:szCs w:val="20"/>
              </w:rPr>
              <w:t xml:space="preserve">měna IVP </w:t>
            </w:r>
            <w:r w:rsidR="00DD77DB" w:rsidRPr="002F4119">
              <w:rPr>
                <w:rFonts w:eastAsia="Times New Roman"/>
                <w:sz w:val="20"/>
                <w:szCs w:val="20"/>
              </w:rPr>
              <w:t>–</w:t>
            </w:r>
            <w:r w:rsidR="006733FC" w:rsidRPr="002F4119">
              <w:rPr>
                <w:rFonts w:eastAsia="Times New Roman"/>
                <w:sz w:val="20"/>
                <w:szCs w:val="20"/>
              </w:rPr>
              <w:t xml:space="preserve"> z hlediska přidání další vzdělávacích aktivity</w:t>
            </w:r>
            <w:r w:rsidR="00CA0249" w:rsidRPr="002F4119">
              <w:rPr>
                <w:rFonts w:eastAsia="Times New Roman"/>
                <w:sz w:val="20"/>
                <w:szCs w:val="20"/>
              </w:rPr>
              <w:t xml:space="preserve"> nebo z hlediska prodloužení délky praxe</w:t>
            </w:r>
            <w:r w:rsidR="005A524F">
              <w:rPr>
                <w:rStyle w:val="Znakapoznpodarou"/>
                <w:rFonts w:eastAsia="Times New Roman"/>
                <w:sz w:val="20"/>
                <w:szCs w:val="20"/>
              </w:rPr>
              <w:footnoteReference w:id="45"/>
            </w:r>
          </w:p>
        </w:tc>
        <w:tc>
          <w:tcPr>
            <w:tcW w:w="1417" w:type="dxa"/>
            <w:shd w:val="clear" w:color="auto" w:fill="auto"/>
            <w:tcMar>
              <w:top w:w="100" w:type="dxa"/>
              <w:left w:w="100" w:type="dxa"/>
              <w:bottom w:w="100" w:type="dxa"/>
              <w:right w:w="100" w:type="dxa"/>
            </w:tcMar>
          </w:tcPr>
          <w:p w14:paraId="507AC881" w14:textId="77777777" w:rsidR="004255D9" w:rsidRPr="002F4119" w:rsidRDefault="006733FC" w:rsidP="00845DB5">
            <w:pPr>
              <w:spacing w:after="120" w:line="240" w:lineRule="auto"/>
              <w:rPr>
                <w:rFonts w:eastAsia="Times New Roman"/>
                <w:sz w:val="20"/>
                <w:szCs w:val="20"/>
              </w:rPr>
            </w:pPr>
            <w:r w:rsidRPr="002F4119">
              <w:rPr>
                <w:rFonts w:eastAsia="Times New Roman"/>
                <w:sz w:val="20"/>
                <w:szCs w:val="20"/>
              </w:rPr>
              <w:t xml:space="preserve">ne </w:t>
            </w:r>
          </w:p>
        </w:tc>
        <w:tc>
          <w:tcPr>
            <w:tcW w:w="3680" w:type="dxa"/>
            <w:shd w:val="clear" w:color="auto" w:fill="auto"/>
            <w:tcMar>
              <w:top w:w="100" w:type="dxa"/>
              <w:left w:w="100" w:type="dxa"/>
              <w:bottom w:w="100" w:type="dxa"/>
              <w:right w:w="100" w:type="dxa"/>
            </w:tcMar>
          </w:tcPr>
          <w:p w14:paraId="116AED2F" w14:textId="5F5FAE9E" w:rsidR="004255D9" w:rsidRPr="002F4119" w:rsidRDefault="001175E5" w:rsidP="00845DB5">
            <w:pPr>
              <w:spacing w:after="120" w:line="240" w:lineRule="auto"/>
              <w:rPr>
                <w:rFonts w:eastAsia="Times New Roman"/>
                <w:sz w:val="20"/>
                <w:szCs w:val="20"/>
              </w:rPr>
            </w:pPr>
            <w:r w:rsidRPr="002F4119">
              <w:rPr>
                <w:rFonts w:eastAsia="Times New Roman"/>
                <w:sz w:val="20"/>
                <w:szCs w:val="20"/>
              </w:rPr>
              <w:t>Nová příloha Rozhodnutí IVP, nová příloha Rozpočet specializačního vzdělávání</w:t>
            </w:r>
            <w:r w:rsidR="006A2886">
              <w:rPr>
                <w:rFonts w:eastAsia="Times New Roman"/>
                <w:sz w:val="20"/>
                <w:szCs w:val="20"/>
              </w:rPr>
              <w:t xml:space="preserve"> (příloha Metodiky č. 4).</w:t>
            </w:r>
          </w:p>
        </w:tc>
      </w:tr>
      <w:tr w:rsidR="004255D9" w:rsidRPr="0027623F" w14:paraId="1FDF19EB" w14:textId="77777777" w:rsidTr="00FF2EC9">
        <w:tc>
          <w:tcPr>
            <w:tcW w:w="4253" w:type="dxa"/>
            <w:shd w:val="clear" w:color="auto" w:fill="auto"/>
            <w:tcMar>
              <w:top w:w="100" w:type="dxa"/>
              <w:left w:w="100" w:type="dxa"/>
              <w:bottom w:w="100" w:type="dxa"/>
              <w:right w:w="100" w:type="dxa"/>
            </w:tcMar>
          </w:tcPr>
          <w:p w14:paraId="04D7D6DA" w14:textId="7A417519" w:rsidR="004255D9" w:rsidRPr="002F4119" w:rsidRDefault="00600A36" w:rsidP="00845DB5">
            <w:pPr>
              <w:widowControl/>
              <w:pBdr>
                <w:top w:val="nil"/>
                <w:left w:val="nil"/>
                <w:bottom w:val="nil"/>
                <w:right w:val="nil"/>
                <w:between w:val="nil"/>
              </w:pBdr>
              <w:spacing w:after="120" w:line="240" w:lineRule="auto"/>
              <w:rPr>
                <w:rFonts w:eastAsia="Times New Roman"/>
                <w:sz w:val="20"/>
                <w:szCs w:val="20"/>
              </w:rPr>
            </w:pPr>
            <w:r>
              <w:rPr>
                <w:rFonts w:eastAsia="Times New Roman"/>
                <w:sz w:val="20"/>
                <w:szCs w:val="20"/>
              </w:rPr>
              <w:t>Z</w:t>
            </w:r>
            <w:r w:rsidR="006733FC" w:rsidRPr="002F4119">
              <w:rPr>
                <w:rFonts w:eastAsia="Times New Roman"/>
                <w:sz w:val="20"/>
                <w:szCs w:val="20"/>
              </w:rPr>
              <w:t xml:space="preserve">měny rozpočtu </w:t>
            </w:r>
            <w:proofErr w:type="gramStart"/>
            <w:r w:rsidR="006733FC" w:rsidRPr="002F4119">
              <w:rPr>
                <w:rFonts w:eastAsia="Times New Roman"/>
                <w:sz w:val="20"/>
                <w:szCs w:val="20"/>
              </w:rPr>
              <w:t>jiné,</w:t>
            </w:r>
            <w:proofErr w:type="gramEnd"/>
            <w:r w:rsidR="006733FC" w:rsidRPr="002F4119">
              <w:rPr>
                <w:rFonts w:eastAsia="Times New Roman"/>
                <w:sz w:val="20"/>
                <w:szCs w:val="20"/>
              </w:rPr>
              <w:t xml:space="preserve"> než uvedené v</w:t>
            </w:r>
            <w:r w:rsidR="00FA2633">
              <w:rPr>
                <w:rFonts w:eastAsia="Times New Roman"/>
                <w:sz w:val="20"/>
                <w:szCs w:val="20"/>
              </w:rPr>
              <w:t> tomto Metodickém pokynu, kapitole 5.2.2</w:t>
            </w:r>
            <w:r w:rsidR="006733FC" w:rsidRPr="002F4119">
              <w:rPr>
                <w:rFonts w:eastAsia="Times New Roman"/>
                <w:sz w:val="20"/>
                <w:szCs w:val="20"/>
              </w:rPr>
              <w:t xml:space="preserve"> Změny, u</w:t>
            </w:r>
            <w:r w:rsidR="00FA2633">
              <w:rPr>
                <w:rFonts w:eastAsia="Times New Roman"/>
                <w:sz w:val="20"/>
                <w:szCs w:val="20"/>
              </w:rPr>
              <w:t> </w:t>
            </w:r>
            <w:r w:rsidR="006733FC" w:rsidRPr="002F4119">
              <w:rPr>
                <w:rFonts w:eastAsia="Times New Roman"/>
                <w:sz w:val="20"/>
                <w:szCs w:val="20"/>
              </w:rPr>
              <w:t>kterých není nutný předchozí souhlas MZ</w:t>
            </w:r>
          </w:p>
        </w:tc>
        <w:tc>
          <w:tcPr>
            <w:tcW w:w="1417" w:type="dxa"/>
            <w:shd w:val="clear" w:color="auto" w:fill="auto"/>
            <w:tcMar>
              <w:top w:w="100" w:type="dxa"/>
              <w:left w:w="100" w:type="dxa"/>
              <w:bottom w:w="100" w:type="dxa"/>
              <w:right w:w="100" w:type="dxa"/>
            </w:tcMar>
          </w:tcPr>
          <w:p w14:paraId="675A1314" w14:textId="77777777" w:rsidR="004255D9" w:rsidRPr="002F4119" w:rsidRDefault="006733FC" w:rsidP="00845DB5">
            <w:pPr>
              <w:widowControl/>
              <w:pBdr>
                <w:top w:val="nil"/>
                <w:left w:val="nil"/>
                <w:bottom w:val="nil"/>
                <w:right w:val="nil"/>
                <w:between w:val="nil"/>
              </w:pBdr>
              <w:spacing w:after="120" w:line="240" w:lineRule="auto"/>
              <w:rPr>
                <w:rFonts w:eastAsia="Times New Roman"/>
                <w:sz w:val="20"/>
                <w:szCs w:val="20"/>
              </w:rPr>
            </w:pPr>
            <w:r w:rsidRPr="002F4119">
              <w:rPr>
                <w:rFonts w:eastAsia="Times New Roman"/>
                <w:sz w:val="20"/>
                <w:szCs w:val="20"/>
              </w:rPr>
              <w:t>ne</w:t>
            </w:r>
          </w:p>
        </w:tc>
        <w:tc>
          <w:tcPr>
            <w:tcW w:w="3680" w:type="dxa"/>
            <w:shd w:val="clear" w:color="auto" w:fill="auto"/>
            <w:tcMar>
              <w:top w:w="100" w:type="dxa"/>
              <w:left w:w="100" w:type="dxa"/>
              <w:bottom w:w="100" w:type="dxa"/>
              <w:right w:w="100" w:type="dxa"/>
            </w:tcMar>
          </w:tcPr>
          <w:p w14:paraId="059AD4B7" w14:textId="43ACDFA9" w:rsidR="004255D9" w:rsidRPr="002F4119" w:rsidRDefault="006733FC" w:rsidP="00845DB5">
            <w:pPr>
              <w:spacing w:after="120" w:line="240" w:lineRule="auto"/>
              <w:rPr>
                <w:rFonts w:eastAsia="Times New Roman"/>
                <w:sz w:val="20"/>
                <w:szCs w:val="20"/>
              </w:rPr>
            </w:pPr>
            <w:r w:rsidRPr="002F4119">
              <w:rPr>
                <w:rFonts w:eastAsia="Times New Roman"/>
                <w:sz w:val="20"/>
                <w:szCs w:val="20"/>
              </w:rPr>
              <w:t xml:space="preserve">Nová příloha </w:t>
            </w:r>
            <w:r w:rsidR="001175E5" w:rsidRPr="002F4119">
              <w:rPr>
                <w:rFonts w:eastAsia="Times New Roman"/>
                <w:sz w:val="20"/>
                <w:szCs w:val="20"/>
              </w:rPr>
              <w:t>Rozpočet specializačního vzdělávání</w:t>
            </w:r>
            <w:r w:rsidR="006A2886">
              <w:rPr>
                <w:rFonts w:eastAsia="Times New Roman"/>
                <w:sz w:val="20"/>
                <w:szCs w:val="20"/>
              </w:rPr>
              <w:t xml:space="preserve"> (příloha Metodiky č. 4)</w:t>
            </w:r>
            <w:r w:rsidR="001175E5" w:rsidRPr="002F4119">
              <w:rPr>
                <w:rFonts w:eastAsia="Times New Roman"/>
                <w:sz w:val="20"/>
                <w:szCs w:val="20"/>
              </w:rPr>
              <w:t>.</w:t>
            </w:r>
          </w:p>
        </w:tc>
      </w:tr>
    </w:tbl>
    <w:p w14:paraId="4CF21101" w14:textId="77777777" w:rsidR="004255D9" w:rsidRPr="00DD51CE" w:rsidRDefault="004255D9" w:rsidP="00DD51CE">
      <w:pPr>
        <w:widowControl/>
        <w:spacing w:after="120" w:line="240" w:lineRule="auto"/>
        <w:ind w:left="720"/>
        <w:jc w:val="both"/>
        <w:rPr>
          <w:rFonts w:eastAsia="Times New Roman"/>
          <w:sz w:val="24"/>
          <w:szCs w:val="24"/>
        </w:rPr>
      </w:pPr>
    </w:p>
    <w:p w14:paraId="65E7816B" w14:textId="70112866" w:rsidR="004255D9" w:rsidRPr="00B930FE" w:rsidRDefault="001844C2" w:rsidP="00B930FE">
      <w:pPr>
        <w:pStyle w:val="Nadpis3"/>
      </w:pPr>
      <w:bookmarkStart w:id="42" w:name="_Toc32407814"/>
      <w:r w:rsidRPr="00B930FE">
        <w:t xml:space="preserve">5.2.2 </w:t>
      </w:r>
      <w:r w:rsidR="006733FC" w:rsidRPr="00B930FE">
        <w:t>Změny, u kterých není nutný předchozí souhlas MZ</w:t>
      </w:r>
      <w:r w:rsidR="006733FC" w:rsidRPr="002F4119">
        <w:rPr>
          <w:vertAlign w:val="superscript"/>
        </w:rPr>
        <w:footnoteReference w:id="46"/>
      </w:r>
      <w:bookmarkEnd w:id="42"/>
    </w:p>
    <w:p w14:paraId="3678AFB1" w14:textId="5240E133" w:rsidR="001844C2" w:rsidRPr="00DD51CE" w:rsidRDefault="001844C2" w:rsidP="00DD51CE">
      <w:pPr>
        <w:widowControl/>
        <w:spacing w:after="120" w:line="240" w:lineRule="auto"/>
        <w:jc w:val="both"/>
        <w:rPr>
          <w:rFonts w:eastAsia="Times New Roman"/>
          <w:sz w:val="24"/>
          <w:szCs w:val="24"/>
        </w:rPr>
      </w:pPr>
      <w:r w:rsidRPr="00DD51CE">
        <w:rPr>
          <w:rFonts w:eastAsia="Times New Roman"/>
          <w:sz w:val="24"/>
          <w:szCs w:val="24"/>
        </w:rPr>
        <w:t>Např.:</w:t>
      </w:r>
    </w:p>
    <w:tbl>
      <w:tblPr>
        <w:tblStyle w:val="aa"/>
        <w:tblW w:w="93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1417"/>
        <w:gridCol w:w="2576"/>
      </w:tblGrid>
      <w:tr w:rsidR="004255D9" w:rsidRPr="00077BD5" w14:paraId="37885F48" w14:textId="77777777" w:rsidTr="005D226C">
        <w:tc>
          <w:tcPr>
            <w:tcW w:w="5387" w:type="dxa"/>
            <w:shd w:val="clear" w:color="auto" w:fill="D9D9D9" w:themeFill="background1" w:themeFillShade="D9"/>
            <w:tcMar>
              <w:top w:w="100" w:type="dxa"/>
              <w:left w:w="100" w:type="dxa"/>
              <w:bottom w:w="100" w:type="dxa"/>
              <w:right w:w="100" w:type="dxa"/>
            </w:tcMar>
          </w:tcPr>
          <w:p w14:paraId="7D5CE519" w14:textId="77777777"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Typ změn</w:t>
            </w:r>
          </w:p>
        </w:tc>
        <w:tc>
          <w:tcPr>
            <w:tcW w:w="1417" w:type="dxa"/>
            <w:shd w:val="clear" w:color="auto" w:fill="D9D9D9" w:themeFill="background1" w:themeFillShade="D9"/>
            <w:tcMar>
              <w:top w:w="100" w:type="dxa"/>
              <w:left w:w="100" w:type="dxa"/>
              <w:bottom w:w="100" w:type="dxa"/>
              <w:right w:w="100" w:type="dxa"/>
            </w:tcMar>
          </w:tcPr>
          <w:p w14:paraId="6FCDDA41" w14:textId="3D34AB4B"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Změna, která vede ke změně Rozhodnutí</w:t>
            </w:r>
          </w:p>
        </w:tc>
        <w:tc>
          <w:tcPr>
            <w:tcW w:w="2576" w:type="dxa"/>
            <w:shd w:val="clear" w:color="auto" w:fill="D9D9D9" w:themeFill="background1" w:themeFillShade="D9"/>
            <w:tcMar>
              <w:top w:w="100" w:type="dxa"/>
              <w:left w:w="100" w:type="dxa"/>
              <w:bottom w:w="100" w:type="dxa"/>
              <w:right w:w="100" w:type="dxa"/>
            </w:tcMar>
          </w:tcPr>
          <w:p w14:paraId="473AD84A" w14:textId="02AA66D5"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Způsob doložení</w:t>
            </w:r>
            <w:r w:rsidR="00600A36">
              <w:rPr>
                <w:rFonts w:eastAsia="Times New Roman"/>
                <w:b/>
                <w:bCs/>
                <w:sz w:val="20"/>
                <w:szCs w:val="20"/>
              </w:rPr>
              <w:t xml:space="preserve"> </w:t>
            </w:r>
            <w:r w:rsidRPr="00077BD5">
              <w:rPr>
                <w:rFonts w:eastAsia="Times New Roman"/>
                <w:b/>
                <w:bCs/>
                <w:sz w:val="20"/>
                <w:szCs w:val="20"/>
              </w:rPr>
              <w:t>/ Další poznámky</w:t>
            </w:r>
          </w:p>
        </w:tc>
      </w:tr>
      <w:tr w:rsidR="004255D9" w:rsidRPr="00600A36" w14:paraId="614A3C3D" w14:textId="77777777" w:rsidTr="005D226C">
        <w:tc>
          <w:tcPr>
            <w:tcW w:w="5387" w:type="dxa"/>
            <w:shd w:val="clear" w:color="auto" w:fill="auto"/>
            <w:tcMar>
              <w:top w:w="100" w:type="dxa"/>
              <w:left w:w="100" w:type="dxa"/>
              <w:bottom w:w="100" w:type="dxa"/>
              <w:right w:w="100" w:type="dxa"/>
            </w:tcMar>
          </w:tcPr>
          <w:p w14:paraId="05BC232E" w14:textId="544DBAC3" w:rsidR="004255D9" w:rsidRPr="00600A36" w:rsidRDefault="00600A36" w:rsidP="00845DB5">
            <w:pPr>
              <w:widowControl/>
              <w:spacing w:after="120" w:line="240" w:lineRule="auto"/>
              <w:rPr>
                <w:rFonts w:eastAsia="Times New Roman"/>
                <w:sz w:val="20"/>
                <w:szCs w:val="20"/>
              </w:rPr>
            </w:pPr>
            <w:r w:rsidRPr="002F180D">
              <w:rPr>
                <w:rFonts w:eastAsia="Times New Roman"/>
                <w:sz w:val="20"/>
                <w:szCs w:val="20"/>
              </w:rPr>
              <w:t>Z</w:t>
            </w:r>
            <w:r w:rsidR="00D45075" w:rsidRPr="002F180D">
              <w:rPr>
                <w:rFonts w:eastAsia="Times New Roman"/>
                <w:sz w:val="20"/>
                <w:szCs w:val="20"/>
              </w:rPr>
              <w:t xml:space="preserve">měna v ubytování: </w:t>
            </w:r>
            <w:r w:rsidRPr="002F180D">
              <w:rPr>
                <w:rFonts w:eastAsia="Times New Roman"/>
                <w:sz w:val="20"/>
                <w:szCs w:val="20"/>
              </w:rPr>
              <w:t>p</w:t>
            </w:r>
            <w:r w:rsidR="006733FC" w:rsidRPr="002F180D">
              <w:rPr>
                <w:rFonts w:eastAsia="Times New Roman"/>
                <w:sz w:val="20"/>
                <w:szCs w:val="20"/>
              </w:rPr>
              <w:t xml:space="preserve">řesun mezi položkami </w:t>
            </w:r>
            <w:r w:rsidR="004B7DA6" w:rsidRPr="002F180D">
              <w:rPr>
                <w:rFonts w:eastAsia="Times New Roman"/>
                <w:sz w:val="20"/>
                <w:szCs w:val="20"/>
              </w:rPr>
              <w:t>v</w:t>
            </w:r>
            <w:r w:rsidR="00DA03BD" w:rsidRPr="002F180D">
              <w:rPr>
                <w:rFonts w:eastAsia="Times New Roman"/>
                <w:sz w:val="20"/>
                <w:szCs w:val="20"/>
              </w:rPr>
              <w:t> </w:t>
            </w:r>
            <w:r w:rsidR="004B7DA6" w:rsidRPr="002F180D">
              <w:rPr>
                <w:rFonts w:eastAsia="Times New Roman"/>
                <w:sz w:val="20"/>
                <w:szCs w:val="20"/>
              </w:rPr>
              <w:t>rozpočtu</w:t>
            </w:r>
            <w:r w:rsidR="00DA03BD" w:rsidRPr="002F180D">
              <w:rPr>
                <w:rFonts w:eastAsia="Times New Roman"/>
                <w:sz w:val="20"/>
                <w:szCs w:val="20"/>
              </w:rPr>
              <w:t xml:space="preserve"> týkající se stejné KA</w:t>
            </w:r>
            <w:r w:rsidR="004B7DA6" w:rsidRPr="002F180D">
              <w:rPr>
                <w:rFonts w:eastAsia="Times New Roman"/>
                <w:sz w:val="20"/>
                <w:szCs w:val="20"/>
              </w:rPr>
              <w:t xml:space="preserve"> </w:t>
            </w:r>
            <w:r w:rsidR="006733FC" w:rsidRPr="002F180D">
              <w:rPr>
                <w:rFonts w:eastAsia="Times New Roman"/>
                <w:sz w:val="20"/>
                <w:szCs w:val="20"/>
              </w:rPr>
              <w:t xml:space="preserve">nebo </w:t>
            </w:r>
            <w:r w:rsidR="00DA03BD" w:rsidRPr="002F180D">
              <w:rPr>
                <w:rFonts w:eastAsia="Times New Roman"/>
                <w:sz w:val="20"/>
                <w:szCs w:val="20"/>
              </w:rPr>
              <w:t>různých KA</w:t>
            </w:r>
            <w:r w:rsidR="006733FC" w:rsidRPr="002F180D">
              <w:rPr>
                <w:rFonts w:eastAsia="Times New Roman"/>
                <w:sz w:val="20"/>
                <w:szCs w:val="20"/>
              </w:rPr>
              <w:t xml:space="preserve">: v případě, že </w:t>
            </w:r>
            <w:r w:rsidR="00DA03BD" w:rsidRPr="002F180D">
              <w:rPr>
                <w:rFonts w:eastAsia="Times New Roman"/>
                <w:sz w:val="20"/>
                <w:szCs w:val="20"/>
              </w:rPr>
              <w:t>KA</w:t>
            </w:r>
            <w:r w:rsidR="006733FC" w:rsidRPr="002F180D">
              <w:rPr>
                <w:rFonts w:eastAsia="Times New Roman"/>
                <w:sz w:val="20"/>
                <w:szCs w:val="20"/>
              </w:rPr>
              <w:t>, jejíž finanční částka je snižována, je již dokončena (tj. kurzy: KA1 až KA9 jsou již absolvovány) nebo v případě praxe dojde za kalendářní měsíc absolvované praxe, k</w:t>
            </w:r>
            <w:r w:rsidR="00DA03BD" w:rsidRPr="002F180D">
              <w:rPr>
                <w:rFonts w:eastAsia="Times New Roman"/>
                <w:sz w:val="20"/>
                <w:szCs w:val="20"/>
              </w:rPr>
              <w:t> </w:t>
            </w:r>
            <w:r w:rsidR="006733FC" w:rsidRPr="002F180D">
              <w:rPr>
                <w:rFonts w:eastAsia="Times New Roman"/>
                <w:sz w:val="20"/>
                <w:szCs w:val="20"/>
              </w:rPr>
              <w:t>ušetření finančních prostředků</w:t>
            </w:r>
            <w:r w:rsidR="006733FC" w:rsidRPr="002F180D">
              <w:rPr>
                <w:rFonts w:eastAsia="Times New Roman"/>
                <w:sz w:val="20"/>
                <w:szCs w:val="20"/>
                <w:vertAlign w:val="superscript"/>
              </w:rPr>
              <w:footnoteReference w:id="47"/>
            </w:r>
            <w:r w:rsidR="006733FC" w:rsidRPr="00600A36">
              <w:rPr>
                <w:rFonts w:eastAsia="Times New Roman"/>
                <w:sz w:val="20"/>
                <w:szCs w:val="20"/>
              </w:rPr>
              <w:t xml:space="preserve"> </w:t>
            </w:r>
          </w:p>
        </w:tc>
        <w:tc>
          <w:tcPr>
            <w:tcW w:w="1417" w:type="dxa"/>
            <w:shd w:val="clear" w:color="auto" w:fill="auto"/>
            <w:tcMar>
              <w:top w:w="100" w:type="dxa"/>
              <w:left w:w="100" w:type="dxa"/>
              <w:bottom w:w="100" w:type="dxa"/>
              <w:right w:w="100" w:type="dxa"/>
            </w:tcMar>
          </w:tcPr>
          <w:p w14:paraId="1D9E3CE8" w14:textId="77777777" w:rsidR="004255D9" w:rsidRPr="00600A36" w:rsidRDefault="006733FC" w:rsidP="00845DB5">
            <w:pPr>
              <w:spacing w:after="120" w:line="240" w:lineRule="auto"/>
              <w:rPr>
                <w:rFonts w:eastAsia="Times New Roman"/>
                <w:sz w:val="20"/>
                <w:szCs w:val="20"/>
              </w:rPr>
            </w:pPr>
            <w:r w:rsidRPr="00600A36">
              <w:rPr>
                <w:rFonts w:eastAsia="Times New Roman"/>
                <w:sz w:val="20"/>
                <w:szCs w:val="20"/>
              </w:rPr>
              <w:t>ne</w:t>
            </w:r>
          </w:p>
        </w:tc>
        <w:tc>
          <w:tcPr>
            <w:tcW w:w="2576" w:type="dxa"/>
            <w:shd w:val="clear" w:color="auto" w:fill="auto"/>
            <w:tcMar>
              <w:top w:w="100" w:type="dxa"/>
              <w:left w:w="100" w:type="dxa"/>
              <w:bottom w:w="100" w:type="dxa"/>
              <w:right w:w="100" w:type="dxa"/>
            </w:tcMar>
          </w:tcPr>
          <w:p w14:paraId="5A9355AA" w14:textId="499B2177" w:rsidR="004255D9" w:rsidRPr="00600A36" w:rsidRDefault="006733FC" w:rsidP="00845DB5">
            <w:pPr>
              <w:spacing w:after="120" w:line="240" w:lineRule="auto"/>
              <w:rPr>
                <w:rFonts w:eastAsia="Times New Roman"/>
                <w:sz w:val="20"/>
                <w:szCs w:val="20"/>
              </w:rPr>
            </w:pPr>
            <w:r w:rsidRPr="00600A36">
              <w:rPr>
                <w:rFonts w:eastAsia="Times New Roman"/>
                <w:sz w:val="20"/>
                <w:szCs w:val="20"/>
              </w:rPr>
              <w:t xml:space="preserve">Nová příloha </w:t>
            </w:r>
            <w:r w:rsidR="001175E5" w:rsidRPr="00600A36">
              <w:rPr>
                <w:rFonts w:eastAsia="Times New Roman"/>
                <w:sz w:val="20"/>
                <w:szCs w:val="20"/>
              </w:rPr>
              <w:t>Rozpočet specializačního vzdělávání</w:t>
            </w:r>
            <w:r w:rsidR="006A2886">
              <w:rPr>
                <w:rFonts w:eastAsia="Times New Roman"/>
                <w:sz w:val="20"/>
                <w:szCs w:val="20"/>
              </w:rPr>
              <w:t xml:space="preserve"> (příloha Metodiky č. 4)</w:t>
            </w:r>
            <w:r w:rsidR="001175E5" w:rsidRPr="00600A36">
              <w:rPr>
                <w:rFonts w:eastAsia="Times New Roman"/>
                <w:sz w:val="20"/>
                <w:szCs w:val="20"/>
              </w:rPr>
              <w:t>.</w:t>
            </w:r>
          </w:p>
        </w:tc>
      </w:tr>
      <w:tr w:rsidR="004255D9" w:rsidRPr="00600A36" w14:paraId="4DB214FF" w14:textId="77777777" w:rsidTr="005D226C">
        <w:tc>
          <w:tcPr>
            <w:tcW w:w="5387" w:type="dxa"/>
            <w:shd w:val="clear" w:color="auto" w:fill="auto"/>
            <w:tcMar>
              <w:top w:w="100" w:type="dxa"/>
              <w:left w:w="100" w:type="dxa"/>
              <w:bottom w:w="100" w:type="dxa"/>
              <w:right w:w="100" w:type="dxa"/>
            </w:tcMar>
          </w:tcPr>
          <w:p w14:paraId="2D21FEDA" w14:textId="798B7FE1" w:rsidR="004255D9" w:rsidRPr="00600A36" w:rsidRDefault="00600A36" w:rsidP="005D226C">
            <w:pPr>
              <w:widowControl/>
              <w:spacing w:after="120" w:line="240" w:lineRule="auto"/>
              <w:rPr>
                <w:rFonts w:eastAsia="Times New Roman"/>
                <w:sz w:val="20"/>
                <w:szCs w:val="20"/>
              </w:rPr>
            </w:pPr>
            <w:r>
              <w:rPr>
                <w:rFonts w:eastAsia="Times New Roman"/>
                <w:sz w:val="20"/>
                <w:szCs w:val="20"/>
              </w:rPr>
              <w:t>Zm</w:t>
            </w:r>
            <w:r w:rsidR="009F000E" w:rsidRPr="00600A36">
              <w:rPr>
                <w:rFonts w:eastAsia="Times New Roman"/>
                <w:sz w:val="20"/>
                <w:szCs w:val="20"/>
              </w:rPr>
              <w:t>ěna</w:t>
            </w:r>
            <w:r w:rsidR="006733FC" w:rsidRPr="00600A36">
              <w:rPr>
                <w:rFonts w:eastAsia="Times New Roman"/>
                <w:sz w:val="20"/>
                <w:szCs w:val="20"/>
              </w:rPr>
              <w:t xml:space="preserve"> IVP </w:t>
            </w:r>
            <w:r w:rsidR="00DD77DB" w:rsidRPr="00600A36">
              <w:rPr>
                <w:rFonts w:eastAsia="Times New Roman"/>
                <w:sz w:val="20"/>
                <w:szCs w:val="20"/>
              </w:rPr>
              <w:t>–</w:t>
            </w:r>
            <w:r w:rsidR="006733FC" w:rsidRPr="00600A36">
              <w:rPr>
                <w:rFonts w:eastAsia="Times New Roman"/>
                <w:sz w:val="20"/>
                <w:szCs w:val="20"/>
              </w:rPr>
              <w:t xml:space="preserve"> z hlediska termínů vzdělávacích aktivit</w:t>
            </w:r>
          </w:p>
        </w:tc>
        <w:tc>
          <w:tcPr>
            <w:tcW w:w="1417" w:type="dxa"/>
            <w:shd w:val="clear" w:color="auto" w:fill="auto"/>
            <w:tcMar>
              <w:top w:w="100" w:type="dxa"/>
              <w:left w:w="100" w:type="dxa"/>
              <w:bottom w:w="100" w:type="dxa"/>
              <w:right w:w="100" w:type="dxa"/>
            </w:tcMar>
          </w:tcPr>
          <w:p w14:paraId="0C3ABF59" w14:textId="77777777" w:rsidR="004255D9" w:rsidRPr="00600A36" w:rsidRDefault="006733FC" w:rsidP="00845DB5">
            <w:pPr>
              <w:spacing w:after="120" w:line="240" w:lineRule="auto"/>
              <w:rPr>
                <w:rFonts w:eastAsia="Times New Roman"/>
                <w:sz w:val="20"/>
                <w:szCs w:val="20"/>
              </w:rPr>
            </w:pPr>
            <w:r w:rsidRPr="00600A36">
              <w:rPr>
                <w:rFonts w:eastAsia="Times New Roman"/>
                <w:sz w:val="20"/>
                <w:szCs w:val="20"/>
              </w:rPr>
              <w:t>ne</w:t>
            </w:r>
          </w:p>
        </w:tc>
        <w:tc>
          <w:tcPr>
            <w:tcW w:w="2576" w:type="dxa"/>
            <w:shd w:val="clear" w:color="auto" w:fill="auto"/>
            <w:tcMar>
              <w:top w:w="100" w:type="dxa"/>
              <w:left w:w="100" w:type="dxa"/>
              <w:bottom w:w="100" w:type="dxa"/>
              <w:right w:w="100" w:type="dxa"/>
            </w:tcMar>
          </w:tcPr>
          <w:p w14:paraId="44CB7E1E" w14:textId="759D1FFB" w:rsidR="004255D9" w:rsidRPr="00802192" w:rsidRDefault="004255D9" w:rsidP="00845DB5">
            <w:pPr>
              <w:spacing w:after="120" w:line="240" w:lineRule="auto"/>
              <w:rPr>
                <w:rFonts w:eastAsia="Times New Roman"/>
                <w:sz w:val="20"/>
                <w:szCs w:val="20"/>
              </w:rPr>
            </w:pPr>
          </w:p>
        </w:tc>
      </w:tr>
      <w:tr w:rsidR="00402FBE" w:rsidRPr="0027623F" w14:paraId="44F67FAF" w14:textId="77777777" w:rsidTr="005D226C">
        <w:tc>
          <w:tcPr>
            <w:tcW w:w="5387" w:type="dxa"/>
            <w:shd w:val="clear" w:color="auto" w:fill="auto"/>
            <w:tcMar>
              <w:top w:w="100" w:type="dxa"/>
              <w:left w:w="100" w:type="dxa"/>
              <w:bottom w:w="100" w:type="dxa"/>
              <w:right w:w="100" w:type="dxa"/>
            </w:tcMar>
          </w:tcPr>
          <w:p w14:paraId="1D6EDFF7" w14:textId="2224D1A6" w:rsidR="00402FBE" w:rsidRPr="00600A36" w:rsidRDefault="00600A36" w:rsidP="005D226C">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402FBE" w:rsidRPr="00600A36">
              <w:rPr>
                <w:rFonts w:eastAsia="Times New Roman"/>
                <w:sz w:val="20"/>
                <w:szCs w:val="20"/>
              </w:rPr>
              <w:t>IVP – z hlediska místa vzdělávacích aktivit</w:t>
            </w:r>
          </w:p>
        </w:tc>
        <w:tc>
          <w:tcPr>
            <w:tcW w:w="1417" w:type="dxa"/>
            <w:shd w:val="clear" w:color="auto" w:fill="auto"/>
            <w:tcMar>
              <w:top w:w="100" w:type="dxa"/>
              <w:left w:w="100" w:type="dxa"/>
              <w:bottom w:w="100" w:type="dxa"/>
              <w:right w:w="100" w:type="dxa"/>
            </w:tcMar>
          </w:tcPr>
          <w:p w14:paraId="4192CBE4" w14:textId="5E274C58" w:rsidR="00402FBE" w:rsidRPr="00600A36" w:rsidRDefault="00402FBE" w:rsidP="00845DB5">
            <w:pPr>
              <w:spacing w:after="120" w:line="240" w:lineRule="auto"/>
              <w:rPr>
                <w:rFonts w:eastAsia="Times New Roman"/>
                <w:sz w:val="20"/>
                <w:szCs w:val="20"/>
              </w:rPr>
            </w:pPr>
            <w:r w:rsidRPr="00600A36">
              <w:rPr>
                <w:rFonts w:eastAsia="Times New Roman"/>
                <w:sz w:val="20"/>
                <w:szCs w:val="20"/>
              </w:rPr>
              <w:t>ne</w:t>
            </w:r>
          </w:p>
        </w:tc>
        <w:tc>
          <w:tcPr>
            <w:tcW w:w="2576" w:type="dxa"/>
            <w:shd w:val="clear" w:color="auto" w:fill="auto"/>
            <w:tcMar>
              <w:top w:w="100" w:type="dxa"/>
              <w:left w:w="100" w:type="dxa"/>
              <w:bottom w:w="100" w:type="dxa"/>
              <w:right w:w="100" w:type="dxa"/>
            </w:tcMar>
          </w:tcPr>
          <w:p w14:paraId="37A4B668" w14:textId="77777777" w:rsidR="00402FBE" w:rsidRPr="00802192" w:rsidRDefault="00402FBE" w:rsidP="00845DB5">
            <w:pPr>
              <w:spacing w:after="120" w:line="240" w:lineRule="auto"/>
              <w:rPr>
                <w:rFonts w:eastAsia="Times New Roman"/>
                <w:sz w:val="20"/>
                <w:szCs w:val="20"/>
              </w:rPr>
            </w:pPr>
          </w:p>
        </w:tc>
      </w:tr>
      <w:tr w:rsidR="004255D9" w:rsidRPr="0027623F" w14:paraId="4990142E" w14:textId="77777777" w:rsidTr="005D226C">
        <w:tc>
          <w:tcPr>
            <w:tcW w:w="5387" w:type="dxa"/>
            <w:shd w:val="clear" w:color="auto" w:fill="auto"/>
            <w:tcMar>
              <w:top w:w="100" w:type="dxa"/>
              <w:left w:w="100" w:type="dxa"/>
              <w:bottom w:w="100" w:type="dxa"/>
              <w:right w:w="100" w:type="dxa"/>
            </w:tcMar>
          </w:tcPr>
          <w:p w14:paraId="43DC5B25" w14:textId="00AADC35"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v režimu vzdělávání ze zvyšování na prohlubování kvalifikace</w:t>
            </w:r>
          </w:p>
        </w:tc>
        <w:tc>
          <w:tcPr>
            <w:tcW w:w="1417" w:type="dxa"/>
            <w:shd w:val="clear" w:color="auto" w:fill="auto"/>
            <w:tcMar>
              <w:top w:w="100" w:type="dxa"/>
              <w:left w:w="100" w:type="dxa"/>
              <w:bottom w:w="100" w:type="dxa"/>
              <w:right w:w="100" w:type="dxa"/>
            </w:tcMar>
          </w:tcPr>
          <w:p w14:paraId="77A1727B"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07B1C2F0" w14:textId="00513119" w:rsidR="004255D9" w:rsidRPr="00802192" w:rsidRDefault="00077BD5" w:rsidP="00845DB5">
            <w:pPr>
              <w:widowControl/>
              <w:spacing w:after="120" w:line="240" w:lineRule="auto"/>
              <w:rPr>
                <w:rFonts w:eastAsia="Times New Roman"/>
                <w:sz w:val="20"/>
                <w:szCs w:val="20"/>
              </w:rPr>
            </w:pPr>
            <w:r w:rsidRPr="00802192">
              <w:rPr>
                <w:rFonts w:eastAsia="Times New Roman"/>
                <w:sz w:val="20"/>
                <w:szCs w:val="20"/>
              </w:rPr>
              <w:t>O</w:t>
            </w:r>
            <w:r w:rsidR="006733FC" w:rsidRPr="00802192">
              <w:rPr>
                <w:rFonts w:eastAsia="Times New Roman"/>
                <w:sz w:val="20"/>
                <w:szCs w:val="20"/>
              </w:rPr>
              <w:t>praven</w:t>
            </w:r>
            <w:r w:rsidRPr="00802192">
              <w:rPr>
                <w:rFonts w:eastAsia="Times New Roman"/>
                <w:sz w:val="20"/>
                <w:szCs w:val="20"/>
              </w:rPr>
              <w:t>á</w:t>
            </w:r>
            <w:r w:rsidR="006733FC" w:rsidRPr="00802192">
              <w:rPr>
                <w:rFonts w:eastAsia="Times New Roman"/>
                <w:sz w:val="20"/>
                <w:szCs w:val="20"/>
              </w:rPr>
              <w:t xml:space="preserve"> Kart</w:t>
            </w:r>
            <w:r w:rsidR="00CD7EF7">
              <w:rPr>
                <w:rFonts w:eastAsia="Times New Roman"/>
                <w:sz w:val="20"/>
                <w:szCs w:val="20"/>
              </w:rPr>
              <w:t>a</w:t>
            </w:r>
            <w:r w:rsidR="006733FC" w:rsidRPr="00802192">
              <w:rPr>
                <w:rFonts w:eastAsia="Times New Roman"/>
                <w:sz w:val="20"/>
                <w:szCs w:val="20"/>
              </w:rPr>
              <w:t xml:space="preserve"> účastníka </w:t>
            </w:r>
            <w:r w:rsidR="00802192" w:rsidRPr="00802192">
              <w:rPr>
                <w:rFonts w:eastAsia="Times New Roman"/>
                <w:sz w:val="20"/>
                <w:szCs w:val="20"/>
              </w:rPr>
              <w:t>P</w:t>
            </w:r>
            <w:r w:rsidR="006733FC" w:rsidRPr="00802192">
              <w:rPr>
                <w:rFonts w:eastAsia="Times New Roman"/>
                <w:sz w:val="20"/>
                <w:szCs w:val="20"/>
              </w:rPr>
              <w:t>rojektu</w:t>
            </w:r>
            <w:r w:rsidR="004B7DA6">
              <w:rPr>
                <w:rFonts w:eastAsia="Times New Roman"/>
                <w:sz w:val="20"/>
                <w:szCs w:val="20"/>
              </w:rPr>
              <w:t xml:space="preserve"> (příloha Metodiky č. 7)</w:t>
            </w:r>
            <w:r w:rsidR="006733FC" w:rsidRPr="00802192">
              <w:rPr>
                <w:rFonts w:eastAsia="Times New Roman"/>
                <w:sz w:val="20"/>
                <w:szCs w:val="20"/>
              </w:rPr>
              <w:t>, případně další přílohy.</w:t>
            </w:r>
          </w:p>
        </w:tc>
      </w:tr>
      <w:tr w:rsidR="00A04539" w:rsidRPr="0027623F" w14:paraId="4F4C3282" w14:textId="77777777" w:rsidTr="005D226C">
        <w:tc>
          <w:tcPr>
            <w:tcW w:w="5387" w:type="dxa"/>
            <w:shd w:val="clear" w:color="auto" w:fill="auto"/>
            <w:tcMar>
              <w:top w:w="100" w:type="dxa"/>
              <w:left w:w="100" w:type="dxa"/>
              <w:bottom w:w="100" w:type="dxa"/>
              <w:right w:w="100" w:type="dxa"/>
            </w:tcMar>
          </w:tcPr>
          <w:p w14:paraId="732EF917" w14:textId="6F36BE7B" w:rsidR="00A04539" w:rsidRPr="00A04539" w:rsidRDefault="00A04539" w:rsidP="00845DB5">
            <w:pPr>
              <w:widowControl/>
              <w:spacing w:after="120" w:line="240" w:lineRule="auto"/>
            </w:pPr>
            <w:r w:rsidRPr="00A04539">
              <w:rPr>
                <w:rFonts w:eastAsia="Times New Roman"/>
                <w:sz w:val="20"/>
                <w:szCs w:val="20"/>
              </w:rPr>
              <w:t xml:space="preserve">Změna </w:t>
            </w:r>
            <w:r>
              <w:rPr>
                <w:rFonts w:eastAsia="Times New Roman"/>
                <w:sz w:val="20"/>
                <w:szCs w:val="20"/>
              </w:rPr>
              <w:t xml:space="preserve">výše </w:t>
            </w:r>
            <w:r w:rsidRPr="00A04539">
              <w:rPr>
                <w:rFonts w:eastAsia="Times New Roman"/>
                <w:sz w:val="20"/>
                <w:szCs w:val="20"/>
              </w:rPr>
              <w:t>úvazku</w:t>
            </w:r>
            <w:r>
              <w:rPr>
                <w:rFonts w:eastAsia="Times New Roman"/>
                <w:sz w:val="20"/>
                <w:szCs w:val="20"/>
              </w:rPr>
              <w:t xml:space="preserve"> (snížení či zvýšení)</w:t>
            </w:r>
          </w:p>
        </w:tc>
        <w:tc>
          <w:tcPr>
            <w:tcW w:w="1417" w:type="dxa"/>
            <w:shd w:val="clear" w:color="auto" w:fill="auto"/>
            <w:tcMar>
              <w:top w:w="100" w:type="dxa"/>
              <w:left w:w="100" w:type="dxa"/>
              <w:bottom w:w="100" w:type="dxa"/>
              <w:right w:w="100" w:type="dxa"/>
            </w:tcMar>
          </w:tcPr>
          <w:p w14:paraId="6C16D8CB" w14:textId="2A711564" w:rsidR="00A04539" w:rsidRPr="0027623F" w:rsidRDefault="00496A52" w:rsidP="00845DB5">
            <w:pPr>
              <w:spacing w:after="120" w:line="240" w:lineRule="auto"/>
              <w:rPr>
                <w:rFonts w:eastAsia="Times New Roman"/>
                <w:sz w:val="20"/>
                <w:szCs w:val="20"/>
              </w:rPr>
            </w:pPr>
            <w:r>
              <w:rPr>
                <w:rFonts w:eastAsia="Times New Roman"/>
                <w:sz w:val="20"/>
                <w:szCs w:val="20"/>
              </w:rPr>
              <w:t>ano/ne</w:t>
            </w:r>
          </w:p>
        </w:tc>
        <w:tc>
          <w:tcPr>
            <w:tcW w:w="2576" w:type="dxa"/>
            <w:shd w:val="clear" w:color="auto" w:fill="auto"/>
            <w:tcMar>
              <w:top w:w="100" w:type="dxa"/>
              <w:left w:w="100" w:type="dxa"/>
              <w:bottom w:w="100" w:type="dxa"/>
              <w:right w:w="100" w:type="dxa"/>
            </w:tcMar>
          </w:tcPr>
          <w:p w14:paraId="4387E440" w14:textId="59AE3C95" w:rsidR="00A04539" w:rsidRPr="00802192" w:rsidRDefault="00A04539" w:rsidP="00845DB5">
            <w:pPr>
              <w:widowControl/>
              <w:spacing w:after="120" w:line="240" w:lineRule="auto"/>
              <w:rPr>
                <w:rFonts w:eastAsia="Times New Roman"/>
                <w:sz w:val="20"/>
                <w:szCs w:val="20"/>
              </w:rPr>
            </w:pPr>
            <w:r w:rsidRPr="00802192">
              <w:rPr>
                <w:rFonts w:eastAsia="Times New Roman"/>
                <w:sz w:val="20"/>
                <w:szCs w:val="20"/>
              </w:rPr>
              <w:t>Opravená Kart</w:t>
            </w:r>
            <w:r>
              <w:rPr>
                <w:rFonts w:eastAsia="Times New Roman"/>
                <w:sz w:val="20"/>
                <w:szCs w:val="20"/>
              </w:rPr>
              <w:t>a</w:t>
            </w:r>
            <w:r w:rsidRPr="00802192">
              <w:rPr>
                <w:rFonts w:eastAsia="Times New Roman"/>
                <w:sz w:val="20"/>
                <w:szCs w:val="20"/>
              </w:rPr>
              <w:t xml:space="preserve"> účastníka Projektu</w:t>
            </w:r>
            <w:r>
              <w:rPr>
                <w:rFonts w:eastAsia="Times New Roman"/>
                <w:sz w:val="20"/>
                <w:szCs w:val="20"/>
              </w:rPr>
              <w:t xml:space="preserve"> (příloha Metodiky č. 7).</w:t>
            </w:r>
          </w:p>
        </w:tc>
      </w:tr>
      <w:tr w:rsidR="004255D9" w:rsidRPr="0027623F" w14:paraId="6B65D867" w14:textId="77777777" w:rsidTr="00FF2EC9">
        <w:tc>
          <w:tcPr>
            <w:tcW w:w="9380" w:type="dxa"/>
            <w:gridSpan w:val="3"/>
            <w:shd w:val="clear" w:color="auto" w:fill="D9D9D9" w:themeFill="background1" w:themeFillShade="D9"/>
            <w:tcMar>
              <w:top w:w="100" w:type="dxa"/>
              <w:left w:w="100" w:type="dxa"/>
              <w:bottom w:w="100" w:type="dxa"/>
              <w:right w:w="100" w:type="dxa"/>
            </w:tcMar>
          </w:tcPr>
          <w:p w14:paraId="3762FBE2" w14:textId="029C1B59" w:rsidR="004255D9" w:rsidRPr="0027623F" w:rsidRDefault="00077BD5" w:rsidP="005D226C">
            <w:pPr>
              <w:keepNext/>
              <w:widowControl/>
              <w:spacing w:after="120" w:line="240" w:lineRule="auto"/>
              <w:rPr>
                <w:rFonts w:eastAsia="Times New Roman"/>
                <w:b/>
                <w:sz w:val="20"/>
                <w:szCs w:val="20"/>
              </w:rPr>
            </w:pPr>
            <w:r>
              <w:rPr>
                <w:rFonts w:eastAsia="Times New Roman"/>
                <w:b/>
                <w:sz w:val="20"/>
                <w:szCs w:val="20"/>
              </w:rPr>
              <w:lastRenderedPageBreak/>
              <w:t>Formální změny</w:t>
            </w:r>
          </w:p>
        </w:tc>
      </w:tr>
      <w:tr w:rsidR="004255D9" w:rsidRPr="0027623F" w14:paraId="372D9ADE" w14:textId="77777777" w:rsidTr="005D226C">
        <w:tc>
          <w:tcPr>
            <w:tcW w:w="5387" w:type="dxa"/>
            <w:shd w:val="clear" w:color="auto" w:fill="auto"/>
            <w:tcMar>
              <w:top w:w="100" w:type="dxa"/>
              <w:left w:w="100" w:type="dxa"/>
              <w:bottom w:w="100" w:type="dxa"/>
              <w:right w:w="100" w:type="dxa"/>
            </w:tcMar>
          </w:tcPr>
          <w:p w14:paraId="3D2BD650" w14:textId="4E00E539" w:rsidR="004255D9" w:rsidRPr="0027623F" w:rsidRDefault="00600A36" w:rsidP="005D226C">
            <w:pPr>
              <w:keepNext/>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kontaktní osoby (včetně změny kontaktních údajů – telefon, e-mail)</w:t>
            </w:r>
          </w:p>
        </w:tc>
        <w:tc>
          <w:tcPr>
            <w:tcW w:w="1417" w:type="dxa"/>
            <w:shd w:val="clear" w:color="auto" w:fill="auto"/>
            <w:tcMar>
              <w:top w:w="100" w:type="dxa"/>
              <w:left w:w="100" w:type="dxa"/>
              <w:bottom w:w="100" w:type="dxa"/>
              <w:right w:w="100" w:type="dxa"/>
            </w:tcMar>
          </w:tcPr>
          <w:p w14:paraId="55C98E4F" w14:textId="77777777" w:rsidR="004255D9" w:rsidRPr="0027623F" w:rsidRDefault="006733FC" w:rsidP="005D226C">
            <w:pPr>
              <w:keepNext/>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30653EF9" w14:textId="77777777" w:rsidR="004255D9" w:rsidRPr="0027623F" w:rsidRDefault="004255D9" w:rsidP="005D226C">
            <w:pPr>
              <w:keepNext/>
              <w:spacing w:after="120" w:line="240" w:lineRule="auto"/>
              <w:rPr>
                <w:rFonts w:eastAsia="Times New Roman"/>
                <w:sz w:val="20"/>
                <w:szCs w:val="20"/>
                <w:highlight w:val="red"/>
              </w:rPr>
            </w:pPr>
          </w:p>
        </w:tc>
      </w:tr>
      <w:tr w:rsidR="004255D9" w:rsidRPr="0027623F" w14:paraId="76621514" w14:textId="77777777" w:rsidTr="005D226C">
        <w:tc>
          <w:tcPr>
            <w:tcW w:w="5387" w:type="dxa"/>
            <w:shd w:val="clear" w:color="auto" w:fill="auto"/>
            <w:tcMar>
              <w:top w:w="100" w:type="dxa"/>
              <w:left w:w="100" w:type="dxa"/>
              <w:bottom w:w="100" w:type="dxa"/>
              <w:right w:w="100" w:type="dxa"/>
            </w:tcMar>
          </w:tcPr>
          <w:p w14:paraId="6B9B0A44" w14:textId="3839E23E"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v osobách vykonávajících funkci statutárního orgánu Příjemce </w:t>
            </w:r>
          </w:p>
        </w:tc>
        <w:tc>
          <w:tcPr>
            <w:tcW w:w="1417" w:type="dxa"/>
            <w:shd w:val="clear" w:color="auto" w:fill="auto"/>
            <w:tcMar>
              <w:top w:w="100" w:type="dxa"/>
              <w:left w:w="100" w:type="dxa"/>
              <w:bottom w:w="100" w:type="dxa"/>
              <w:right w:w="100" w:type="dxa"/>
            </w:tcMar>
          </w:tcPr>
          <w:p w14:paraId="35E5C7D1"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4B2F732B" w14:textId="77777777" w:rsidR="004255D9" w:rsidRPr="0027623F" w:rsidRDefault="004255D9" w:rsidP="00845DB5">
            <w:pPr>
              <w:spacing w:after="120" w:line="240" w:lineRule="auto"/>
              <w:rPr>
                <w:rFonts w:eastAsia="Times New Roman"/>
                <w:sz w:val="20"/>
                <w:szCs w:val="20"/>
                <w:highlight w:val="red"/>
              </w:rPr>
            </w:pPr>
          </w:p>
        </w:tc>
      </w:tr>
      <w:tr w:rsidR="004255D9" w:rsidRPr="0027623F" w14:paraId="2BD6B6D7" w14:textId="77777777" w:rsidTr="005D226C">
        <w:tc>
          <w:tcPr>
            <w:tcW w:w="5387" w:type="dxa"/>
            <w:shd w:val="clear" w:color="auto" w:fill="auto"/>
            <w:tcMar>
              <w:top w:w="100" w:type="dxa"/>
              <w:left w:w="100" w:type="dxa"/>
              <w:bottom w:w="100" w:type="dxa"/>
              <w:right w:w="100" w:type="dxa"/>
            </w:tcMar>
          </w:tcPr>
          <w:p w14:paraId="2BCFA604" w14:textId="38D8FDD5"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sídla/adresy pro doručení Příjemce</w:t>
            </w:r>
          </w:p>
        </w:tc>
        <w:tc>
          <w:tcPr>
            <w:tcW w:w="1417" w:type="dxa"/>
            <w:shd w:val="clear" w:color="auto" w:fill="auto"/>
            <w:tcMar>
              <w:top w:w="100" w:type="dxa"/>
              <w:left w:w="100" w:type="dxa"/>
              <w:bottom w:w="100" w:type="dxa"/>
              <w:right w:w="100" w:type="dxa"/>
            </w:tcMar>
          </w:tcPr>
          <w:p w14:paraId="5820A3C5"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ano</w:t>
            </w:r>
            <w:bookmarkStart w:id="43" w:name="_Ref29556088"/>
            <w:r w:rsidRPr="0027623F">
              <w:rPr>
                <w:rFonts w:eastAsia="Times New Roman"/>
                <w:sz w:val="20"/>
                <w:szCs w:val="20"/>
                <w:vertAlign w:val="superscript"/>
              </w:rPr>
              <w:footnoteReference w:id="48"/>
            </w:r>
            <w:bookmarkEnd w:id="43"/>
          </w:p>
        </w:tc>
        <w:tc>
          <w:tcPr>
            <w:tcW w:w="2576" w:type="dxa"/>
            <w:shd w:val="clear" w:color="auto" w:fill="auto"/>
            <w:tcMar>
              <w:top w:w="100" w:type="dxa"/>
              <w:left w:w="100" w:type="dxa"/>
              <w:bottom w:w="100" w:type="dxa"/>
              <w:right w:w="100" w:type="dxa"/>
            </w:tcMar>
          </w:tcPr>
          <w:p w14:paraId="77379EDF" w14:textId="77777777" w:rsidR="004255D9" w:rsidRPr="0027623F" w:rsidRDefault="004255D9" w:rsidP="00845DB5">
            <w:pPr>
              <w:spacing w:after="120" w:line="240" w:lineRule="auto"/>
              <w:rPr>
                <w:rFonts w:eastAsia="Times New Roman"/>
                <w:sz w:val="20"/>
                <w:szCs w:val="20"/>
                <w:highlight w:val="red"/>
              </w:rPr>
            </w:pPr>
          </w:p>
        </w:tc>
      </w:tr>
      <w:tr w:rsidR="004255D9" w:rsidRPr="0027623F" w14:paraId="29666BEB" w14:textId="77777777" w:rsidTr="005D226C">
        <w:tc>
          <w:tcPr>
            <w:tcW w:w="5387" w:type="dxa"/>
            <w:shd w:val="clear" w:color="auto" w:fill="auto"/>
            <w:tcMar>
              <w:top w:w="100" w:type="dxa"/>
              <w:left w:w="100" w:type="dxa"/>
              <w:bottom w:w="100" w:type="dxa"/>
              <w:right w:w="100" w:type="dxa"/>
            </w:tcMar>
          </w:tcPr>
          <w:p w14:paraId="67312A3F" w14:textId="3548E857"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názvu Příjemce </w:t>
            </w:r>
          </w:p>
        </w:tc>
        <w:tc>
          <w:tcPr>
            <w:tcW w:w="1417" w:type="dxa"/>
            <w:shd w:val="clear" w:color="auto" w:fill="auto"/>
            <w:tcMar>
              <w:top w:w="100" w:type="dxa"/>
              <w:left w:w="100" w:type="dxa"/>
              <w:bottom w:w="100" w:type="dxa"/>
              <w:right w:w="100" w:type="dxa"/>
            </w:tcMar>
          </w:tcPr>
          <w:p w14:paraId="642EB26A"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ano</w:t>
            </w:r>
          </w:p>
        </w:tc>
        <w:tc>
          <w:tcPr>
            <w:tcW w:w="2576" w:type="dxa"/>
            <w:shd w:val="clear" w:color="auto" w:fill="auto"/>
            <w:tcMar>
              <w:top w:w="100" w:type="dxa"/>
              <w:left w:w="100" w:type="dxa"/>
              <w:bottom w:w="100" w:type="dxa"/>
              <w:right w:w="100" w:type="dxa"/>
            </w:tcMar>
          </w:tcPr>
          <w:p w14:paraId="6E7F6C30" w14:textId="77777777" w:rsidR="004255D9" w:rsidRPr="0027623F" w:rsidRDefault="004255D9" w:rsidP="00845DB5">
            <w:pPr>
              <w:spacing w:after="120" w:line="240" w:lineRule="auto"/>
              <w:rPr>
                <w:rFonts w:eastAsia="Times New Roman"/>
                <w:sz w:val="20"/>
                <w:szCs w:val="20"/>
                <w:highlight w:val="red"/>
              </w:rPr>
            </w:pPr>
          </w:p>
        </w:tc>
      </w:tr>
      <w:tr w:rsidR="004255D9" w:rsidRPr="0027623F" w14:paraId="711D7419" w14:textId="77777777" w:rsidTr="005D226C">
        <w:tc>
          <w:tcPr>
            <w:tcW w:w="5387" w:type="dxa"/>
            <w:shd w:val="clear" w:color="auto" w:fill="auto"/>
            <w:tcMar>
              <w:top w:w="100" w:type="dxa"/>
              <w:left w:w="100" w:type="dxa"/>
              <w:bottom w:w="100" w:type="dxa"/>
              <w:right w:w="100" w:type="dxa"/>
            </w:tcMar>
          </w:tcPr>
          <w:p w14:paraId="5946E139" w14:textId="09F4A62A"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čísla bankovního spojení, na který je zasílána zálohová platba</w:t>
            </w:r>
          </w:p>
        </w:tc>
        <w:tc>
          <w:tcPr>
            <w:tcW w:w="1417" w:type="dxa"/>
            <w:shd w:val="clear" w:color="auto" w:fill="auto"/>
            <w:tcMar>
              <w:top w:w="100" w:type="dxa"/>
              <w:left w:w="100" w:type="dxa"/>
              <w:bottom w:w="100" w:type="dxa"/>
              <w:right w:w="100" w:type="dxa"/>
            </w:tcMar>
          </w:tcPr>
          <w:p w14:paraId="0F3B3328" w14:textId="695B92B1" w:rsidR="004255D9" w:rsidRPr="0027623F" w:rsidRDefault="00CA0249" w:rsidP="00845DB5">
            <w:pPr>
              <w:spacing w:after="120" w:line="240" w:lineRule="auto"/>
              <w:rPr>
                <w:rFonts w:eastAsia="Times New Roman"/>
                <w:sz w:val="20"/>
                <w:szCs w:val="20"/>
              </w:rPr>
            </w:pPr>
            <w:r w:rsidRPr="0027623F">
              <w:rPr>
                <w:rFonts w:eastAsia="Times New Roman"/>
                <w:sz w:val="20"/>
                <w:szCs w:val="20"/>
              </w:rPr>
              <w:t>ano</w:t>
            </w:r>
            <w:r w:rsidR="005D226C">
              <w:rPr>
                <w:rStyle w:val="Znakapoznpodarou"/>
                <w:rFonts w:eastAsia="Times New Roman"/>
                <w:sz w:val="20"/>
                <w:szCs w:val="20"/>
              </w:rPr>
              <w:footnoteReference w:id="49"/>
            </w:r>
          </w:p>
        </w:tc>
        <w:tc>
          <w:tcPr>
            <w:tcW w:w="2576" w:type="dxa"/>
            <w:shd w:val="clear" w:color="auto" w:fill="auto"/>
            <w:tcMar>
              <w:top w:w="100" w:type="dxa"/>
              <w:left w:w="100" w:type="dxa"/>
              <w:bottom w:w="100" w:type="dxa"/>
              <w:right w:w="100" w:type="dxa"/>
            </w:tcMar>
          </w:tcPr>
          <w:p w14:paraId="6D264B23" w14:textId="77777777" w:rsidR="004255D9" w:rsidRPr="0027623F" w:rsidRDefault="004255D9" w:rsidP="00845DB5">
            <w:pPr>
              <w:spacing w:after="120" w:line="240" w:lineRule="auto"/>
              <w:rPr>
                <w:rFonts w:eastAsia="Times New Roman"/>
                <w:sz w:val="20"/>
                <w:szCs w:val="20"/>
              </w:rPr>
            </w:pPr>
          </w:p>
        </w:tc>
      </w:tr>
      <w:tr w:rsidR="004255D9" w:rsidRPr="0027623F" w14:paraId="1BE9DD1C" w14:textId="77777777" w:rsidTr="005D226C">
        <w:tc>
          <w:tcPr>
            <w:tcW w:w="5387" w:type="dxa"/>
            <w:shd w:val="clear" w:color="auto" w:fill="auto"/>
            <w:tcMar>
              <w:top w:w="100" w:type="dxa"/>
              <w:left w:w="100" w:type="dxa"/>
              <w:bottom w:w="100" w:type="dxa"/>
              <w:right w:w="100" w:type="dxa"/>
            </w:tcMar>
          </w:tcPr>
          <w:p w14:paraId="11FBE2FD" w14:textId="0A45728B"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ve jméně </w:t>
            </w:r>
            <w:r w:rsidR="003458D3" w:rsidRPr="0027623F">
              <w:rPr>
                <w:rFonts w:eastAsia="Times New Roman"/>
                <w:sz w:val="20"/>
                <w:szCs w:val="20"/>
              </w:rPr>
              <w:t>účastník</w:t>
            </w:r>
            <w:r w:rsidR="006733FC" w:rsidRPr="0027623F">
              <w:rPr>
                <w:rFonts w:eastAsia="Times New Roman"/>
                <w:sz w:val="20"/>
                <w:szCs w:val="20"/>
              </w:rPr>
              <w:t>a</w:t>
            </w:r>
          </w:p>
        </w:tc>
        <w:tc>
          <w:tcPr>
            <w:tcW w:w="1417" w:type="dxa"/>
            <w:shd w:val="clear" w:color="auto" w:fill="auto"/>
            <w:tcMar>
              <w:top w:w="100" w:type="dxa"/>
              <w:left w:w="100" w:type="dxa"/>
              <w:bottom w:w="100" w:type="dxa"/>
              <w:right w:w="100" w:type="dxa"/>
            </w:tcMar>
          </w:tcPr>
          <w:p w14:paraId="073FB9CA" w14:textId="1DE54164" w:rsidR="004255D9" w:rsidRPr="0027623F" w:rsidRDefault="006733FC" w:rsidP="00845DB5">
            <w:pPr>
              <w:spacing w:after="120" w:line="240" w:lineRule="auto"/>
              <w:rPr>
                <w:rFonts w:eastAsia="Times New Roman"/>
                <w:sz w:val="20"/>
                <w:szCs w:val="20"/>
              </w:rPr>
            </w:pPr>
            <w:r w:rsidRPr="0027623F">
              <w:rPr>
                <w:rFonts w:eastAsia="Times New Roman"/>
                <w:sz w:val="20"/>
                <w:szCs w:val="20"/>
              </w:rPr>
              <w:t>ano</w:t>
            </w:r>
            <w:r w:rsidR="005D226C">
              <w:rPr>
                <w:rStyle w:val="Znakapoznpodarou"/>
                <w:rFonts w:eastAsia="Times New Roman"/>
                <w:sz w:val="20"/>
                <w:szCs w:val="20"/>
              </w:rPr>
              <w:footnoteReference w:id="50"/>
            </w:r>
          </w:p>
        </w:tc>
        <w:tc>
          <w:tcPr>
            <w:tcW w:w="2576" w:type="dxa"/>
            <w:shd w:val="clear" w:color="auto" w:fill="auto"/>
            <w:tcMar>
              <w:top w:w="100" w:type="dxa"/>
              <w:left w:w="100" w:type="dxa"/>
              <w:bottom w:w="100" w:type="dxa"/>
              <w:right w:w="100" w:type="dxa"/>
            </w:tcMar>
          </w:tcPr>
          <w:p w14:paraId="32C71E80" w14:textId="6D41BC87" w:rsidR="004255D9" w:rsidRPr="0027623F" w:rsidRDefault="006733FC" w:rsidP="00845DB5">
            <w:pPr>
              <w:widowControl/>
              <w:spacing w:after="120" w:line="240" w:lineRule="auto"/>
              <w:rPr>
                <w:rFonts w:eastAsia="Times New Roman"/>
                <w:sz w:val="20"/>
                <w:szCs w:val="20"/>
                <w:highlight w:val="red"/>
              </w:rPr>
            </w:pPr>
            <w:r w:rsidRPr="0027623F">
              <w:rPr>
                <w:rFonts w:eastAsia="Times New Roman"/>
                <w:sz w:val="20"/>
                <w:szCs w:val="20"/>
              </w:rPr>
              <w:t xml:space="preserve">Doložení čestným prohlášením </w:t>
            </w:r>
            <w:r w:rsidR="003458D3" w:rsidRPr="0027623F">
              <w:rPr>
                <w:rFonts w:eastAsia="Times New Roman"/>
                <w:sz w:val="20"/>
                <w:szCs w:val="20"/>
              </w:rPr>
              <w:t>účastník</w:t>
            </w:r>
            <w:r w:rsidRPr="0027623F">
              <w:rPr>
                <w:rFonts w:eastAsia="Times New Roman"/>
                <w:sz w:val="20"/>
                <w:szCs w:val="20"/>
              </w:rPr>
              <w:t>a</w:t>
            </w:r>
            <w:r w:rsidR="00003339">
              <w:rPr>
                <w:rFonts w:eastAsia="Times New Roman"/>
                <w:sz w:val="20"/>
                <w:szCs w:val="20"/>
              </w:rPr>
              <w:t>.</w:t>
            </w:r>
          </w:p>
        </w:tc>
      </w:tr>
      <w:tr w:rsidR="004255D9" w:rsidRPr="0027623F" w14:paraId="331645BA" w14:textId="77777777" w:rsidTr="005D226C">
        <w:tc>
          <w:tcPr>
            <w:tcW w:w="5387" w:type="dxa"/>
            <w:shd w:val="clear" w:color="auto" w:fill="auto"/>
            <w:tcMar>
              <w:top w:w="100" w:type="dxa"/>
              <w:left w:w="100" w:type="dxa"/>
              <w:bottom w:w="100" w:type="dxa"/>
              <w:right w:w="100" w:type="dxa"/>
            </w:tcMar>
          </w:tcPr>
          <w:p w14:paraId="75D42F05" w14:textId="566514BF"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v adrese bydliště </w:t>
            </w:r>
            <w:r w:rsidR="003458D3" w:rsidRPr="0027623F">
              <w:rPr>
                <w:rFonts w:eastAsia="Times New Roman"/>
                <w:sz w:val="20"/>
                <w:szCs w:val="20"/>
              </w:rPr>
              <w:t>účastník</w:t>
            </w:r>
            <w:r w:rsidR="006733FC" w:rsidRPr="0027623F">
              <w:rPr>
                <w:rFonts w:eastAsia="Times New Roman"/>
                <w:sz w:val="20"/>
                <w:szCs w:val="20"/>
              </w:rPr>
              <w:t>a</w:t>
            </w:r>
          </w:p>
        </w:tc>
        <w:tc>
          <w:tcPr>
            <w:tcW w:w="1417" w:type="dxa"/>
            <w:shd w:val="clear" w:color="auto" w:fill="auto"/>
            <w:tcMar>
              <w:top w:w="100" w:type="dxa"/>
              <w:left w:w="100" w:type="dxa"/>
              <w:bottom w:w="100" w:type="dxa"/>
              <w:right w:w="100" w:type="dxa"/>
            </w:tcMar>
          </w:tcPr>
          <w:p w14:paraId="681CC754"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3317CCBD" w14:textId="4F43FCEE" w:rsidR="004255D9" w:rsidRPr="0027623F" w:rsidRDefault="006733FC" w:rsidP="00845DB5">
            <w:pPr>
              <w:widowControl/>
              <w:spacing w:after="120" w:line="240" w:lineRule="auto"/>
              <w:rPr>
                <w:rFonts w:eastAsia="Times New Roman"/>
                <w:sz w:val="20"/>
                <w:szCs w:val="20"/>
                <w:highlight w:val="red"/>
              </w:rPr>
            </w:pPr>
            <w:r w:rsidRPr="0027623F">
              <w:rPr>
                <w:rFonts w:eastAsia="Times New Roman"/>
                <w:sz w:val="20"/>
                <w:szCs w:val="20"/>
              </w:rPr>
              <w:t xml:space="preserve">Doložení čestným prohlášením </w:t>
            </w:r>
            <w:r w:rsidR="003458D3" w:rsidRPr="0027623F">
              <w:rPr>
                <w:rFonts w:eastAsia="Times New Roman"/>
                <w:sz w:val="20"/>
                <w:szCs w:val="20"/>
              </w:rPr>
              <w:t>účastník</w:t>
            </w:r>
            <w:r w:rsidRPr="0027623F">
              <w:rPr>
                <w:rFonts w:eastAsia="Times New Roman"/>
                <w:sz w:val="20"/>
                <w:szCs w:val="20"/>
              </w:rPr>
              <w:t>a</w:t>
            </w:r>
            <w:r w:rsidR="00003339">
              <w:rPr>
                <w:rFonts w:eastAsia="Times New Roman"/>
                <w:sz w:val="20"/>
                <w:szCs w:val="20"/>
              </w:rPr>
              <w:t>.</w:t>
            </w:r>
          </w:p>
        </w:tc>
      </w:tr>
    </w:tbl>
    <w:p w14:paraId="4A105E34" w14:textId="367101B7" w:rsidR="004255D9" w:rsidRDefault="004255D9" w:rsidP="00DD51CE">
      <w:pPr>
        <w:widowControl/>
        <w:spacing w:after="120" w:line="240" w:lineRule="auto"/>
        <w:ind w:left="720"/>
        <w:rPr>
          <w:sz w:val="24"/>
          <w:szCs w:val="24"/>
        </w:rPr>
      </w:pPr>
    </w:p>
    <w:p w14:paraId="285B8832" w14:textId="106D0FCE" w:rsidR="00077BD5" w:rsidRPr="00FF2EC9" w:rsidRDefault="00FF2EC9" w:rsidP="00FF2EC9">
      <w:pPr>
        <w:widowControl/>
        <w:spacing w:after="120" w:line="240" w:lineRule="auto"/>
        <w:jc w:val="both"/>
        <w:rPr>
          <w:rFonts w:eastAsia="Times New Roman"/>
          <w:b/>
          <w:bCs/>
          <w:sz w:val="24"/>
          <w:szCs w:val="24"/>
        </w:rPr>
      </w:pPr>
      <w:r w:rsidRPr="00FF2EC9">
        <w:rPr>
          <w:rFonts w:eastAsia="Times New Roman"/>
          <w:b/>
          <w:bCs/>
          <w:sz w:val="24"/>
          <w:szCs w:val="24"/>
        </w:rPr>
        <w:t>Změny, které mohou vést k</w:t>
      </w:r>
      <w:r>
        <w:rPr>
          <w:rFonts w:eastAsia="Times New Roman"/>
          <w:b/>
          <w:bCs/>
          <w:sz w:val="24"/>
          <w:szCs w:val="24"/>
        </w:rPr>
        <w:t> </w:t>
      </w:r>
      <w:r w:rsidRPr="00FF2EC9">
        <w:rPr>
          <w:rFonts w:eastAsia="Times New Roman"/>
          <w:b/>
          <w:bCs/>
          <w:sz w:val="24"/>
          <w:szCs w:val="24"/>
        </w:rPr>
        <w:t xml:space="preserve">ukončení </w:t>
      </w:r>
      <w:r w:rsidR="009D0732">
        <w:rPr>
          <w:rFonts w:eastAsia="Times New Roman"/>
          <w:b/>
          <w:bCs/>
          <w:sz w:val="24"/>
          <w:szCs w:val="24"/>
        </w:rPr>
        <w:t>financování</w:t>
      </w:r>
    </w:p>
    <w:p w14:paraId="01272594" w14:textId="401E9955" w:rsidR="00FF2EC9" w:rsidRPr="00FF2EC9" w:rsidRDefault="00FF2EC9" w:rsidP="00FF2EC9">
      <w:pPr>
        <w:widowControl/>
        <w:spacing w:after="120" w:line="240" w:lineRule="auto"/>
        <w:jc w:val="both"/>
        <w:rPr>
          <w:rFonts w:eastAsia="Times New Roman"/>
          <w:sz w:val="24"/>
          <w:szCs w:val="24"/>
        </w:rPr>
      </w:pPr>
      <w:r w:rsidRPr="00FF2EC9">
        <w:rPr>
          <w:rFonts w:eastAsia="Times New Roman"/>
          <w:sz w:val="24"/>
          <w:szCs w:val="24"/>
        </w:rPr>
        <w:t>Např.:</w:t>
      </w:r>
    </w:p>
    <w:tbl>
      <w:tblPr>
        <w:tblStyle w:val="aa"/>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6237"/>
      </w:tblGrid>
      <w:tr w:rsidR="00077BD5" w:rsidRPr="0027623F" w14:paraId="595EC622" w14:textId="77777777" w:rsidTr="005D226C">
        <w:trPr>
          <w:trHeight w:val="474"/>
        </w:trPr>
        <w:tc>
          <w:tcPr>
            <w:tcW w:w="3119" w:type="dxa"/>
            <w:shd w:val="clear" w:color="auto" w:fill="D9D9D9" w:themeFill="background1" w:themeFillShade="D9"/>
            <w:tcMar>
              <w:top w:w="100" w:type="dxa"/>
              <w:left w:w="100" w:type="dxa"/>
              <w:bottom w:w="100" w:type="dxa"/>
              <w:right w:w="100" w:type="dxa"/>
            </w:tcMar>
          </w:tcPr>
          <w:p w14:paraId="6AC41E85" w14:textId="27C2AB02" w:rsidR="00077BD5" w:rsidRPr="0027623F" w:rsidRDefault="00077BD5" w:rsidP="00077BD5">
            <w:pPr>
              <w:widowControl/>
              <w:spacing w:after="120" w:line="240" w:lineRule="auto"/>
              <w:rPr>
                <w:rFonts w:eastAsia="Times New Roman"/>
                <w:b/>
                <w:sz w:val="20"/>
                <w:szCs w:val="20"/>
              </w:rPr>
            </w:pPr>
            <w:r w:rsidRPr="00077BD5">
              <w:rPr>
                <w:rFonts w:eastAsia="Times New Roman"/>
                <w:b/>
                <w:bCs/>
                <w:sz w:val="20"/>
                <w:szCs w:val="20"/>
              </w:rPr>
              <w:t>Typ změn</w:t>
            </w:r>
          </w:p>
        </w:tc>
        <w:tc>
          <w:tcPr>
            <w:tcW w:w="6237" w:type="dxa"/>
            <w:shd w:val="clear" w:color="auto" w:fill="D9D9D9" w:themeFill="background1" w:themeFillShade="D9"/>
            <w:tcMar>
              <w:top w:w="100" w:type="dxa"/>
              <w:left w:w="100" w:type="dxa"/>
              <w:bottom w:w="100" w:type="dxa"/>
              <w:right w:w="100" w:type="dxa"/>
            </w:tcMar>
          </w:tcPr>
          <w:p w14:paraId="00D3D353" w14:textId="5E37A942" w:rsidR="00077BD5" w:rsidRPr="0027623F" w:rsidRDefault="00077BD5" w:rsidP="00077BD5">
            <w:pPr>
              <w:spacing w:after="120" w:line="240" w:lineRule="auto"/>
              <w:rPr>
                <w:rFonts w:eastAsia="Times New Roman"/>
                <w:sz w:val="20"/>
                <w:szCs w:val="20"/>
                <w:highlight w:val="yellow"/>
              </w:rPr>
            </w:pPr>
            <w:r w:rsidRPr="00077BD5">
              <w:rPr>
                <w:rFonts w:eastAsia="Times New Roman"/>
                <w:b/>
                <w:bCs/>
                <w:sz w:val="20"/>
                <w:szCs w:val="20"/>
              </w:rPr>
              <w:t>Způsob doložení</w:t>
            </w:r>
            <w:r w:rsidR="00600A36">
              <w:rPr>
                <w:rFonts w:eastAsia="Times New Roman"/>
                <w:b/>
                <w:bCs/>
                <w:sz w:val="20"/>
                <w:szCs w:val="20"/>
              </w:rPr>
              <w:t xml:space="preserve"> </w:t>
            </w:r>
            <w:r w:rsidRPr="00077BD5">
              <w:rPr>
                <w:rFonts w:eastAsia="Times New Roman"/>
                <w:b/>
                <w:bCs/>
                <w:sz w:val="20"/>
                <w:szCs w:val="20"/>
              </w:rPr>
              <w:t>/ Další poznámky</w:t>
            </w:r>
          </w:p>
        </w:tc>
      </w:tr>
      <w:tr w:rsidR="00077BD5" w:rsidRPr="0027623F" w14:paraId="54A21B81" w14:textId="77777777" w:rsidTr="005D226C">
        <w:tc>
          <w:tcPr>
            <w:tcW w:w="3119" w:type="dxa"/>
            <w:shd w:val="clear" w:color="auto" w:fill="auto"/>
            <w:tcMar>
              <w:top w:w="100" w:type="dxa"/>
              <w:left w:w="100" w:type="dxa"/>
              <w:bottom w:w="100" w:type="dxa"/>
              <w:right w:w="100" w:type="dxa"/>
            </w:tcMar>
          </w:tcPr>
          <w:p w14:paraId="72499E29" w14:textId="63CF48B2" w:rsidR="00077BD5" w:rsidRPr="00847B21" w:rsidRDefault="00600A36" w:rsidP="00077BD5">
            <w:pPr>
              <w:widowControl/>
              <w:spacing w:after="120" w:line="240" w:lineRule="auto"/>
              <w:rPr>
                <w:rFonts w:eastAsia="Times New Roman"/>
                <w:sz w:val="20"/>
                <w:szCs w:val="20"/>
              </w:rPr>
            </w:pPr>
            <w:r w:rsidRPr="00847B21">
              <w:rPr>
                <w:rFonts w:eastAsia="Times New Roman"/>
                <w:sz w:val="20"/>
                <w:szCs w:val="20"/>
              </w:rPr>
              <w:t>D</w:t>
            </w:r>
            <w:r w:rsidR="00077BD5" w:rsidRPr="00847B21">
              <w:rPr>
                <w:rFonts w:eastAsia="Times New Roman"/>
                <w:sz w:val="20"/>
                <w:szCs w:val="20"/>
              </w:rPr>
              <w:t>louhodobé přerušení účasti v</w:t>
            </w:r>
            <w:r w:rsidR="005D226C">
              <w:rPr>
                <w:rFonts w:eastAsia="Times New Roman"/>
                <w:sz w:val="20"/>
                <w:szCs w:val="20"/>
              </w:rPr>
              <w:t> </w:t>
            </w:r>
            <w:r w:rsidRPr="00847B21">
              <w:rPr>
                <w:rFonts w:eastAsia="Times New Roman"/>
                <w:sz w:val="20"/>
                <w:szCs w:val="20"/>
              </w:rPr>
              <w:t>P</w:t>
            </w:r>
            <w:r w:rsidR="00077BD5" w:rsidRPr="00847B21">
              <w:rPr>
                <w:rFonts w:eastAsia="Times New Roman"/>
                <w:sz w:val="20"/>
                <w:szCs w:val="20"/>
              </w:rPr>
              <w:t xml:space="preserve">rojektu ze strany účastníka </w:t>
            </w:r>
          </w:p>
        </w:tc>
        <w:tc>
          <w:tcPr>
            <w:tcW w:w="6237" w:type="dxa"/>
            <w:shd w:val="clear" w:color="auto" w:fill="auto"/>
            <w:tcMar>
              <w:top w:w="100" w:type="dxa"/>
              <w:left w:w="100" w:type="dxa"/>
              <w:bottom w:w="100" w:type="dxa"/>
              <w:right w:w="100" w:type="dxa"/>
            </w:tcMar>
          </w:tcPr>
          <w:p w14:paraId="3BC02040" w14:textId="6F837FB1" w:rsidR="00077BD5" w:rsidRPr="0027623F" w:rsidRDefault="00077BD5" w:rsidP="004B7DA6">
            <w:pPr>
              <w:spacing w:after="120" w:line="240" w:lineRule="auto"/>
              <w:rPr>
                <w:rFonts w:eastAsia="Times New Roman"/>
                <w:sz w:val="20"/>
                <w:szCs w:val="20"/>
              </w:rPr>
            </w:pPr>
            <w:r w:rsidRPr="00847B21">
              <w:rPr>
                <w:rFonts w:eastAsia="Times New Roman"/>
                <w:sz w:val="20"/>
                <w:szCs w:val="20"/>
              </w:rPr>
              <w:t>Dlouhodobé přerušení: zejména z důvodu mateřské a</w:t>
            </w:r>
            <w:r w:rsidR="00003339">
              <w:rPr>
                <w:rFonts w:eastAsia="Times New Roman"/>
                <w:sz w:val="20"/>
                <w:szCs w:val="20"/>
              </w:rPr>
              <w:t> </w:t>
            </w:r>
            <w:r w:rsidRPr="00847B21">
              <w:rPr>
                <w:rFonts w:eastAsia="Times New Roman"/>
                <w:sz w:val="20"/>
                <w:szCs w:val="20"/>
              </w:rPr>
              <w:t xml:space="preserve">rodičovské dovolené, dlouhodobé nemoci, výkonu povolání v rozsahu nižším </w:t>
            </w:r>
            <w:r w:rsidRPr="00A04539">
              <w:rPr>
                <w:rFonts w:eastAsia="Times New Roman"/>
                <w:sz w:val="20"/>
                <w:szCs w:val="20"/>
              </w:rPr>
              <w:t xml:space="preserve">než </w:t>
            </w:r>
            <w:r w:rsidR="00A04539" w:rsidRPr="00A04539">
              <w:rPr>
                <w:rFonts w:eastAsia="Times New Roman"/>
                <w:sz w:val="20"/>
                <w:szCs w:val="20"/>
              </w:rPr>
              <w:t>0,5</w:t>
            </w:r>
            <w:r w:rsidRPr="00A04539">
              <w:rPr>
                <w:rFonts w:eastAsia="Times New Roman"/>
                <w:sz w:val="20"/>
                <w:szCs w:val="20"/>
              </w:rPr>
              <w:t xml:space="preserve"> úvazku,</w:t>
            </w:r>
            <w:r w:rsidRPr="00847B21">
              <w:rPr>
                <w:rFonts w:eastAsia="Times New Roman"/>
                <w:sz w:val="20"/>
                <w:szCs w:val="20"/>
              </w:rPr>
              <w:t xml:space="preserve"> dlouhodobého pobytu v</w:t>
            </w:r>
            <w:r w:rsidR="0094066D" w:rsidRPr="00847B21">
              <w:rPr>
                <w:rFonts w:eastAsia="Times New Roman"/>
                <w:sz w:val="20"/>
                <w:szCs w:val="20"/>
              </w:rPr>
              <w:t> </w:t>
            </w:r>
            <w:r w:rsidRPr="00847B21">
              <w:rPr>
                <w:rFonts w:eastAsia="Times New Roman"/>
                <w:sz w:val="20"/>
                <w:szCs w:val="20"/>
              </w:rPr>
              <w:t>zahraničí</w:t>
            </w:r>
            <w:r w:rsidR="0094066D" w:rsidRPr="00847B21">
              <w:rPr>
                <w:rFonts w:eastAsia="Times New Roman"/>
                <w:sz w:val="20"/>
                <w:szCs w:val="20"/>
              </w:rPr>
              <w:t>. Tato změna</w:t>
            </w:r>
            <w:r w:rsidRPr="00847B21">
              <w:rPr>
                <w:rFonts w:eastAsia="Times New Roman"/>
                <w:sz w:val="20"/>
                <w:szCs w:val="20"/>
              </w:rPr>
              <w:t xml:space="preserve"> může mít vliv na změnu zálohové platby.</w:t>
            </w:r>
          </w:p>
        </w:tc>
      </w:tr>
      <w:tr w:rsidR="00077BD5" w:rsidRPr="0027623F" w14:paraId="077BB852" w14:textId="77777777" w:rsidTr="005D226C">
        <w:tc>
          <w:tcPr>
            <w:tcW w:w="3119" w:type="dxa"/>
            <w:shd w:val="clear" w:color="auto" w:fill="auto"/>
            <w:tcMar>
              <w:top w:w="100" w:type="dxa"/>
              <w:left w:w="100" w:type="dxa"/>
              <w:bottom w:w="100" w:type="dxa"/>
              <w:right w:w="100" w:type="dxa"/>
            </w:tcMar>
          </w:tcPr>
          <w:p w14:paraId="55058870" w14:textId="2D2BF029" w:rsidR="00077BD5" w:rsidRPr="0027623F" w:rsidRDefault="00600A36" w:rsidP="00077BD5">
            <w:pPr>
              <w:widowControl/>
              <w:spacing w:after="120" w:line="240" w:lineRule="auto"/>
              <w:rPr>
                <w:rFonts w:eastAsia="Times New Roman"/>
                <w:sz w:val="20"/>
                <w:szCs w:val="20"/>
              </w:rPr>
            </w:pPr>
            <w:r>
              <w:rPr>
                <w:rFonts w:eastAsia="Times New Roman"/>
                <w:sz w:val="20"/>
                <w:szCs w:val="20"/>
              </w:rPr>
              <w:t>U</w:t>
            </w:r>
            <w:r w:rsidR="00077BD5" w:rsidRPr="0027623F">
              <w:rPr>
                <w:rFonts w:eastAsia="Times New Roman"/>
                <w:sz w:val="20"/>
                <w:szCs w:val="20"/>
              </w:rPr>
              <w:t>končení pracovního poměru účastníka u</w:t>
            </w:r>
            <w:r w:rsidR="00003339">
              <w:rPr>
                <w:rFonts w:eastAsia="Times New Roman"/>
                <w:sz w:val="20"/>
                <w:szCs w:val="20"/>
              </w:rPr>
              <w:t> </w:t>
            </w:r>
            <w:r w:rsidR="00077BD5" w:rsidRPr="0027623F">
              <w:rPr>
                <w:rFonts w:eastAsia="Times New Roman"/>
                <w:sz w:val="20"/>
                <w:szCs w:val="20"/>
              </w:rPr>
              <w:t>Příjemce</w:t>
            </w:r>
          </w:p>
        </w:tc>
        <w:tc>
          <w:tcPr>
            <w:tcW w:w="6237" w:type="dxa"/>
            <w:shd w:val="clear" w:color="auto" w:fill="auto"/>
            <w:tcMar>
              <w:top w:w="100" w:type="dxa"/>
              <w:left w:w="100" w:type="dxa"/>
              <w:bottom w:w="100" w:type="dxa"/>
              <w:right w:w="100" w:type="dxa"/>
            </w:tcMar>
          </w:tcPr>
          <w:p w14:paraId="2C850E20" w14:textId="78588F00" w:rsidR="00077BD5" w:rsidRPr="0027623F" w:rsidRDefault="0094066D" w:rsidP="004B7DA6">
            <w:pPr>
              <w:widowControl/>
              <w:spacing w:after="120" w:line="240" w:lineRule="auto"/>
              <w:rPr>
                <w:rFonts w:eastAsia="Times New Roman"/>
                <w:sz w:val="20"/>
                <w:szCs w:val="20"/>
              </w:rPr>
            </w:pPr>
            <w:r>
              <w:rPr>
                <w:rFonts w:eastAsia="Times New Roman"/>
                <w:sz w:val="20"/>
                <w:szCs w:val="20"/>
              </w:rPr>
              <w:t>Výpověď.</w:t>
            </w:r>
          </w:p>
        </w:tc>
      </w:tr>
      <w:tr w:rsidR="00077BD5" w:rsidRPr="0027623F" w14:paraId="112AB98F" w14:textId="77777777" w:rsidTr="005D226C">
        <w:tc>
          <w:tcPr>
            <w:tcW w:w="3119" w:type="dxa"/>
            <w:shd w:val="clear" w:color="auto" w:fill="auto"/>
            <w:tcMar>
              <w:top w:w="100" w:type="dxa"/>
              <w:left w:w="100" w:type="dxa"/>
              <w:bottom w:w="100" w:type="dxa"/>
              <w:right w:w="100" w:type="dxa"/>
            </w:tcMar>
          </w:tcPr>
          <w:p w14:paraId="69AEEC1A" w14:textId="6A0EC47C" w:rsidR="00077BD5" w:rsidRPr="0027623F" w:rsidRDefault="00600A36" w:rsidP="00077BD5">
            <w:pPr>
              <w:widowControl/>
              <w:spacing w:after="120" w:line="240" w:lineRule="auto"/>
              <w:rPr>
                <w:rFonts w:eastAsia="Times New Roman"/>
                <w:sz w:val="20"/>
                <w:szCs w:val="20"/>
              </w:rPr>
            </w:pPr>
            <w:r>
              <w:rPr>
                <w:rFonts w:eastAsia="Times New Roman"/>
                <w:sz w:val="20"/>
                <w:szCs w:val="20"/>
              </w:rPr>
              <w:t>U</w:t>
            </w:r>
            <w:r w:rsidR="00077BD5" w:rsidRPr="0027623F">
              <w:rPr>
                <w:rFonts w:eastAsia="Times New Roman"/>
                <w:sz w:val="20"/>
                <w:szCs w:val="20"/>
              </w:rPr>
              <w:t xml:space="preserve">končení účasti na </w:t>
            </w:r>
            <w:r w:rsidR="0094066D">
              <w:rPr>
                <w:rFonts w:eastAsia="Times New Roman"/>
                <w:sz w:val="20"/>
                <w:szCs w:val="20"/>
              </w:rPr>
              <w:t>P</w:t>
            </w:r>
            <w:r w:rsidR="00077BD5" w:rsidRPr="0027623F">
              <w:rPr>
                <w:rFonts w:eastAsia="Times New Roman"/>
                <w:sz w:val="20"/>
                <w:szCs w:val="20"/>
              </w:rPr>
              <w:t>rojektu ze strany účastníka</w:t>
            </w:r>
          </w:p>
        </w:tc>
        <w:tc>
          <w:tcPr>
            <w:tcW w:w="6237" w:type="dxa"/>
            <w:shd w:val="clear" w:color="auto" w:fill="auto"/>
            <w:tcMar>
              <w:top w:w="100" w:type="dxa"/>
              <w:left w:w="100" w:type="dxa"/>
              <w:bottom w:w="100" w:type="dxa"/>
              <w:right w:w="100" w:type="dxa"/>
            </w:tcMar>
          </w:tcPr>
          <w:p w14:paraId="1F295EE8" w14:textId="7E4B189D" w:rsidR="00077BD5" w:rsidRPr="0027623F" w:rsidRDefault="00077BD5" w:rsidP="004B7DA6">
            <w:pPr>
              <w:spacing w:after="120" w:line="240" w:lineRule="auto"/>
              <w:rPr>
                <w:rFonts w:eastAsia="Times New Roman"/>
                <w:sz w:val="20"/>
                <w:szCs w:val="20"/>
              </w:rPr>
            </w:pPr>
            <w:r w:rsidRPr="0027623F">
              <w:rPr>
                <w:rFonts w:eastAsia="Times New Roman"/>
                <w:sz w:val="20"/>
                <w:szCs w:val="20"/>
              </w:rPr>
              <w:t>Čestné prohlášení o ukončení účasti v</w:t>
            </w:r>
            <w:r w:rsidR="0094066D">
              <w:rPr>
                <w:rFonts w:eastAsia="Times New Roman"/>
                <w:sz w:val="20"/>
                <w:szCs w:val="20"/>
              </w:rPr>
              <w:t> P</w:t>
            </w:r>
            <w:r w:rsidRPr="0027623F">
              <w:rPr>
                <w:rFonts w:eastAsia="Times New Roman"/>
                <w:sz w:val="20"/>
                <w:szCs w:val="20"/>
              </w:rPr>
              <w:t>rojektu podepsané účastníkem</w:t>
            </w:r>
            <w:r w:rsidR="00003339">
              <w:rPr>
                <w:rFonts w:eastAsia="Times New Roman"/>
                <w:sz w:val="20"/>
                <w:szCs w:val="20"/>
              </w:rPr>
              <w:t>.</w:t>
            </w:r>
          </w:p>
        </w:tc>
      </w:tr>
      <w:tr w:rsidR="00077BD5" w:rsidRPr="0027623F" w14:paraId="2DF045FB" w14:textId="77777777" w:rsidTr="005D226C">
        <w:tc>
          <w:tcPr>
            <w:tcW w:w="3119" w:type="dxa"/>
            <w:shd w:val="clear" w:color="auto" w:fill="auto"/>
            <w:tcMar>
              <w:top w:w="100" w:type="dxa"/>
              <w:left w:w="100" w:type="dxa"/>
              <w:bottom w:w="100" w:type="dxa"/>
              <w:right w:w="100" w:type="dxa"/>
            </w:tcMar>
          </w:tcPr>
          <w:p w14:paraId="2F1D5D2B" w14:textId="3112C40C" w:rsidR="00077BD5" w:rsidRPr="0027623F" w:rsidRDefault="00077BD5" w:rsidP="00077BD5">
            <w:pPr>
              <w:widowControl/>
              <w:spacing w:after="120" w:line="240" w:lineRule="auto"/>
              <w:rPr>
                <w:rFonts w:eastAsia="Times New Roman"/>
                <w:sz w:val="20"/>
                <w:szCs w:val="20"/>
              </w:rPr>
            </w:pPr>
            <w:r w:rsidRPr="0027623F">
              <w:rPr>
                <w:rFonts w:eastAsia="Times New Roman"/>
                <w:sz w:val="20"/>
                <w:szCs w:val="20"/>
              </w:rPr>
              <w:t>Příjemce odstoupí</w:t>
            </w:r>
            <w:r w:rsidR="0094066D">
              <w:rPr>
                <w:rFonts w:eastAsia="Times New Roman"/>
                <w:sz w:val="20"/>
                <w:szCs w:val="20"/>
              </w:rPr>
              <w:t xml:space="preserve"> od Projektu</w:t>
            </w:r>
            <w:r w:rsidRPr="0027623F">
              <w:rPr>
                <w:rFonts w:eastAsia="Times New Roman"/>
                <w:sz w:val="20"/>
                <w:szCs w:val="20"/>
              </w:rPr>
              <w:t xml:space="preserve">; neschopnost pokračovat </w:t>
            </w:r>
            <w:r w:rsidR="0094066D">
              <w:rPr>
                <w:rFonts w:eastAsia="Times New Roman"/>
                <w:sz w:val="20"/>
                <w:szCs w:val="20"/>
              </w:rPr>
              <w:t>v</w:t>
            </w:r>
            <w:r w:rsidR="004B7DA6">
              <w:rPr>
                <w:rFonts w:eastAsia="Times New Roman"/>
                <w:sz w:val="20"/>
                <w:szCs w:val="20"/>
              </w:rPr>
              <w:t> </w:t>
            </w:r>
            <w:r w:rsidR="0094066D">
              <w:rPr>
                <w:rFonts w:eastAsia="Times New Roman"/>
                <w:sz w:val="20"/>
                <w:szCs w:val="20"/>
              </w:rPr>
              <w:t>Projektu</w:t>
            </w:r>
          </w:p>
        </w:tc>
        <w:tc>
          <w:tcPr>
            <w:tcW w:w="6237" w:type="dxa"/>
            <w:shd w:val="clear" w:color="auto" w:fill="auto"/>
            <w:tcMar>
              <w:top w:w="100" w:type="dxa"/>
              <w:left w:w="100" w:type="dxa"/>
              <w:bottom w:w="100" w:type="dxa"/>
              <w:right w:w="100" w:type="dxa"/>
            </w:tcMar>
          </w:tcPr>
          <w:p w14:paraId="5DC01B9D" w14:textId="77777777" w:rsidR="00077BD5" w:rsidRPr="0027623F" w:rsidRDefault="00077BD5" w:rsidP="004B7DA6">
            <w:pPr>
              <w:spacing w:after="120" w:line="240" w:lineRule="auto"/>
              <w:rPr>
                <w:rFonts w:eastAsia="Times New Roman"/>
                <w:sz w:val="20"/>
                <w:szCs w:val="20"/>
              </w:rPr>
            </w:pPr>
          </w:p>
        </w:tc>
      </w:tr>
    </w:tbl>
    <w:p w14:paraId="70FADC43" w14:textId="7BA23D8A" w:rsidR="004255D9" w:rsidRPr="00DD51CE" w:rsidRDefault="006733FC" w:rsidP="00DD51CE">
      <w:pPr>
        <w:widowControl/>
        <w:spacing w:after="120" w:line="240" w:lineRule="auto"/>
        <w:rPr>
          <w:sz w:val="24"/>
          <w:szCs w:val="24"/>
        </w:rPr>
      </w:pPr>
      <w:r w:rsidRPr="00DD51CE">
        <w:rPr>
          <w:sz w:val="24"/>
          <w:szCs w:val="24"/>
        </w:rPr>
        <w:t xml:space="preserve"> </w:t>
      </w:r>
      <w:r w:rsidRPr="00DD51CE">
        <w:rPr>
          <w:sz w:val="24"/>
          <w:szCs w:val="24"/>
        </w:rPr>
        <w:tab/>
      </w:r>
    </w:p>
    <w:p w14:paraId="62E0DB57" w14:textId="77777777" w:rsidR="004255D9" w:rsidRPr="00B930FE" w:rsidRDefault="006733FC" w:rsidP="00B930FE">
      <w:pPr>
        <w:pStyle w:val="Nadpis1"/>
      </w:pPr>
      <w:bookmarkStart w:id="44" w:name="_Toc32407815"/>
      <w:r w:rsidRPr="00B930FE">
        <w:lastRenderedPageBreak/>
        <w:t>6. KONTROLA</w:t>
      </w:r>
      <w:bookmarkEnd w:id="44"/>
    </w:p>
    <w:p w14:paraId="2A5800D4" w14:textId="5EEEFF2D" w:rsidR="00495D07" w:rsidRDefault="0041553A" w:rsidP="00DE45DF">
      <w:pPr>
        <w:widowControl/>
        <w:numPr>
          <w:ilvl w:val="0"/>
          <w:numId w:val="7"/>
        </w:numPr>
        <w:spacing w:after="120" w:line="240" w:lineRule="auto"/>
        <w:ind w:left="414" w:hanging="357"/>
        <w:jc w:val="both"/>
        <w:rPr>
          <w:rFonts w:eastAsia="Calibri"/>
          <w:sz w:val="24"/>
          <w:szCs w:val="24"/>
        </w:rPr>
      </w:pPr>
      <w:r>
        <w:rPr>
          <w:rFonts w:eastAsia="Calibri"/>
          <w:sz w:val="24"/>
          <w:szCs w:val="24"/>
        </w:rPr>
        <w:t>MZ</w:t>
      </w:r>
      <w:r w:rsidR="006733FC" w:rsidRPr="00495D07">
        <w:rPr>
          <w:rFonts w:eastAsia="Calibri"/>
          <w:sz w:val="24"/>
          <w:szCs w:val="24"/>
        </w:rPr>
        <w:t xml:space="preserve"> má právo vykonat kontrolu dodržování podmínek dotace v souladu se zákonem č. 320/2001 Sb., o finanční kontrole ve veřejné správě a o změně některých zákonů, ve znění pozdějších předpisů. Procesní pravidla veřejnosprávní kontroly se řídí zákonem č. 255/2012 Sb., o kontrole (kontrolní řád), ve znění pozdějších předpisů (dále jen „Kontrolní řád“). Příjemce poskytne potřebnou součinnost nezbytnou pro výkon kontroly podle uvedených zákonů.</w:t>
      </w:r>
    </w:p>
    <w:p w14:paraId="595798B3" w14:textId="4FC4CDCC" w:rsidR="004255D9" w:rsidRPr="00495D07" w:rsidRDefault="006733FC" w:rsidP="00DE45DF">
      <w:pPr>
        <w:widowControl/>
        <w:numPr>
          <w:ilvl w:val="0"/>
          <w:numId w:val="7"/>
        </w:numPr>
        <w:spacing w:after="120" w:line="240" w:lineRule="auto"/>
        <w:ind w:left="414" w:hanging="357"/>
        <w:jc w:val="both"/>
        <w:rPr>
          <w:rFonts w:eastAsia="Calibri"/>
          <w:sz w:val="24"/>
          <w:szCs w:val="24"/>
        </w:rPr>
      </w:pPr>
      <w:r w:rsidRPr="00495D07">
        <w:rPr>
          <w:rFonts w:eastAsia="Calibri"/>
          <w:sz w:val="24"/>
          <w:szCs w:val="24"/>
        </w:rPr>
        <w:t xml:space="preserve">Příjemce má povinnost </w:t>
      </w:r>
      <w:r w:rsidR="0041553A">
        <w:rPr>
          <w:rFonts w:eastAsia="Calibri"/>
          <w:sz w:val="24"/>
          <w:szCs w:val="24"/>
        </w:rPr>
        <w:t>MZ</w:t>
      </w:r>
      <w:r w:rsidRPr="00495D07">
        <w:rPr>
          <w:rFonts w:eastAsia="Calibri"/>
          <w:sz w:val="24"/>
          <w:szCs w:val="24"/>
        </w:rPr>
        <w:t xml:space="preserve"> informovat neprodleně o zahájení všech kontrol, které se vztahují k uskutečňování specializačního vzdělávání (vyjma kontrol prováděných </w:t>
      </w:r>
      <w:r w:rsidR="0041553A">
        <w:rPr>
          <w:rFonts w:eastAsia="Calibri"/>
          <w:sz w:val="24"/>
          <w:szCs w:val="24"/>
        </w:rPr>
        <w:t>MZ</w:t>
      </w:r>
      <w:r w:rsidRPr="00495D07">
        <w:rPr>
          <w:rFonts w:eastAsia="Calibri"/>
          <w:sz w:val="24"/>
          <w:szCs w:val="24"/>
        </w:rPr>
        <w:t xml:space="preserve">), a informovat </w:t>
      </w:r>
      <w:r w:rsidR="0041553A">
        <w:rPr>
          <w:rFonts w:eastAsia="Calibri"/>
          <w:sz w:val="24"/>
          <w:szCs w:val="24"/>
        </w:rPr>
        <w:t>MZ</w:t>
      </w:r>
      <w:r w:rsidRPr="00495D07">
        <w:rPr>
          <w:rFonts w:eastAsia="Calibri"/>
          <w:sz w:val="24"/>
          <w:szCs w:val="24"/>
        </w:rPr>
        <w:t xml:space="preserve"> o výsledcích těchto kontrol.</w:t>
      </w:r>
    </w:p>
    <w:p w14:paraId="15FE203C" w14:textId="5E181290" w:rsidR="004255D9" w:rsidRPr="00DD51CE" w:rsidRDefault="0041553A" w:rsidP="00DE45DF">
      <w:pPr>
        <w:widowControl/>
        <w:numPr>
          <w:ilvl w:val="0"/>
          <w:numId w:val="7"/>
        </w:numPr>
        <w:spacing w:after="120" w:line="240" w:lineRule="auto"/>
        <w:ind w:left="414" w:hanging="357"/>
        <w:jc w:val="both"/>
        <w:rPr>
          <w:rFonts w:eastAsia="Cambria"/>
          <w:sz w:val="24"/>
          <w:szCs w:val="24"/>
        </w:rPr>
      </w:pPr>
      <w:r>
        <w:rPr>
          <w:rFonts w:eastAsia="Calibri"/>
          <w:b/>
          <w:sz w:val="24"/>
          <w:szCs w:val="24"/>
        </w:rPr>
        <w:t>MZ</w:t>
      </w:r>
      <w:r w:rsidR="006733FC" w:rsidRPr="00DD51CE">
        <w:rPr>
          <w:rFonts w:eastAsia="Calibri"/>
          <w:b/>
          <w:sz w:val="24"/>
          <w:szCs w:val="24"/>
        </w:rPr>
        <w:t xml:space="preserve"> je oprávněn</w:t>
      </w:r>
      <w:r>
        <w:rPr>
          <w:rFonts w:eastAsia="Calibri"/>
          <w:b/>
          <w:sz w:val="24"/>
          <w:szCs w:val="24"/>
        </w:rPr>
        <w:t>o</w:t>
      </w:r>
      <w:r w:rsidR="006733FC" w:rsidRPr="00DD51CE">
        <w:rPr>
          <w:rFonts w:eastAsia="Calibri"/>
          <w:b/>
          <w:sz w:val="24"/>
          <w:szCs w:val="24"/>
        </w:rPr>
        <w:t xml:space="preserve"> vykonávat u Příjemce během realizace specializačního vzdělávání monitorovací návštěvu</w:t>
      </w:r>
      <w:r w:rsidR="006733FC" w:rsidRPr="00DD51CE">
        <w:rPr>
          <w:rFonts w:eastAsia="Calibri"/>
          <w:sz w:val="24"/>
          <w:szCs w:val="24"/>
        </w:rPr>
        <w:t xml:space="preserve">, spočívající v prohlídce průběhu specializačního vzdělávání a dokumentace související s jeho realizací. Monitorovací návštěva je úkonem předcházejícím případné veřejnosprávní kontrole podle § 3 Kontrolního řádu. Na průběh monitorovací návštěvy se </w:t>
      </w:r>
      <w:r w:rsidR="004E5787">
        <w:rPr>
          <w:rFonts w:eastAsia="Calibri"/>
          <w:sz w:val="24"/>
          <w:szCs w:val="24"/>
        </w:rPr>
        <w:t xml:space="preserve">neuplatňují </w:t>
      </w:r>
      <w:r w:rsidR="006733FC" w:rsidRPr="00DD51CE">
        <w:rPr>
          <w:rFonts w:eastAsia="Calibri"/>
          <w:sz w:val="24"/>
          <w:szCs w:val="24"/>
        </w:rPr>
        <w:t>postupy podle Kontrolního řádu. Příjemce má povinnost při těchto monitorovacích návštěvách spolupracovat. Výstupem z monitorovací návštěvy je Zápis z</w:t>
      </w:r>
      <w:r w:rsidR="00CA0249" w:rsidRPr="00DD51CE">
        <w:rPr>
          <w:rFonts w:eastAsia="Calibri"/>
          <w:sz w:val="24"/>
          <w:szCs w:val="24"/>
        </w:rPr>
        <w:t> </w:t>
      </w:r>
      <w:r w:rsidR="006733FC" w:rsidRPr="00DD51CE">
        <w:rPr>
          <w:rFonts w:eastAsia="Calibri"/>
          <w:sz w:val="24"/>
          <w:szCs w:val="24"/>
        </w:rPr>
        <w:t>monitorovací návštěvy, k jehož návrhu se má možnost Příjemce vyjádřit.</w:t>
      </w:r>
    </w:p>
    <w:p w14:paraId="6FE693C0" w14:textId="17836C55" w:rsidR="004255D9" w:rsidRPr="00DD51CE" w:rsidRDefault="006733FC" w:rsidP="00DE45DF">
      <w:pPr>
        <w:widowControl/>
        <w:numPr>
          <w:ilvl w:val="0"/>
          <w:numId w:val="7"/>
        </w:numPr>
        <w:spacing w:after="120" w:line="240" w:lineRule="auto"/>
        <w:ind w:left="414" w:hanging="357"/>
        <w:jc w:val="both"/>
        <w:rPr>
          <w:sz w:val="24"/>
          <w:szCs w:val="24"/>
        </w:rPr>
      </w:pPr>
      <w:r w:rsidRPr="00DD51CE">
        <w:rPr>
          <w:rFonts w:eastAsia="Calibri"/>
          <w:sz w:val="24"/>
          <w:szCs w:val="24"/>
        </w:rPr>
        <w:t>Předmětem kontrol na místě (tj. veřejnosprávní kontroly dle Zákona o finanční kontrole a</w:t>
      </w:r>
      <w:r w:rsidR="00CA0249" w:rsidRPr="00DD51CE">
        <w:rPr>
          <w:rFonts w:eastAsia="Calibri"/>
          <w:sz w:val="24"/>
          <w:szCs w:val="24"/>
        </w:rPr>
        <w:t> </w:t>
      </w:r>
      <w:r w:rsidRPr="00DD51CE">
        <w:rPr>
          <w:rFonts w:eastAsia="Calibri"/>
          <w:sz w:val="24"/>
          <w:szCs w:val="24"/>
        </w:rPr>
        <w:t>monitorovací návštěvy) jsou zejména následující dokumenty:</w:t>
      </w:r>
      <w:r w:rsidR="004016C0" w:rsidRPr="00DD51CE">
        <w:rPr>
          <w:rFonts w:eastAsia="Calibri"/>
          <w:sz w:val="24"/>
          <w:szCs w:val="24"/>
        </w:rPr>
        <w:t xml:space="preserve"> </w:t>
      </w:r>
      <w:r w:rsidRPr="00DD51CE">
        <w:rPr>
          <w:rFonts w:eastAsia="Calibri"/>
          <w:sz w:val="24"/>
          <w:szCs w:val="24"/>
        </w:rPr>
        <w:t>originální účetní doklady a další dokumenty sloužící k prokázání způsobilosti výdajů (</w:t>
      </w:r>
      <w:r w:rsidR="004016C0" w:rsidRPr="00DD51CE">
        <w:rPr>
          <w:rFonts w:eastAsia="Calibri"/>
          <w:sz w:val="24"/>
          <w:szCs w:val="24"/>
        </w:rPr>
        <w:t>Výkazy účasti na specializačním vzdělávání,</w:t>
      </w:r>
      <w:r w:rsidRPr="00DD51CE">
        <w:rPr>
          <w:rFonts w:eastAsia="Calibri"/>
          <w:sz w:val="24"/>
          <w:szCs w:val="24"/>
        </w:rPr>
        <w:t xml:space="preserve"> originály pracovních smluv a DPČ</w:t>
      </w:r>
      <w:r w:rsidR="004016C0" w:rsidRPr="00DD51CE">
        <w:rPr>
          <w:rFonts w:eastAsia="Calibri"/>
          <w:sz w:val="24"/>
          <w:szCs w:val="24"/>
        </w:rPr>
        <w:t>, podklady k publicitě – doložení řádného označení dokumentů</w:t>
      </w:r>
      <w:r w:rsidRPr="00DD51CE">
        <w:rPr>
          <w:rFonts w:eastAsia="Calibri"/>
          <w:sz w:val="24"/>
          <w:szCs w:val="24"/>
        </w:rPr>
        <w:t xml:space="preserve"> apod.)</w:t>
      </w:r>
      <w:bookmarkStart w:id="45" w:name="_lzse30bgp5c9" w:colFirst="0" w:colLast="0"/>
      <w:bookmarkEnd w:id="45"/>
    </w:p>
    <w:p w14:paraId="7BBF18B8" w14:textId="77777777" w:rsidR="004255D9" w:rsidRPr="00DD51CE" w:rsidRDefault="004255D9" w:rsidP="00DD51CE">
      <w:pPr>
        <w:widowControl/>
        <w:spacing w:after="120" w:line="240" w:lineRule="auto"/>
        <w:rPr>
          <w:sz w:val="24"/>
          <w:szCs w:val="24"/>
        </w:rPr>
      </w:pPr>
    </w:p>
    <w:p w14:paraId="626BEFE1" w14:textId="3B818106" w:rsidR="001175E5" w:rsidRPr="00DD51CE" w:rsidRDefault="001175E5" w:rsidP="00DD51CE">
      <w:pPr>
        <w:widowControl/>
        <w:spacing w:before="240" w:after="120" w:line="240" w:lineRule="auto"/>
        <w:ind w:left="360"/>
        <w:jc w:val="both"/>
        <w:rPr>
          <w:rFonts w:eastAsia="Cambria"/>
          <w:sz w:val="24"/>
          <w:szCs w:val="24"/>
        </w:rPr>
      </w:pPr>
      <w:r w:rsidRPr="00DD51CE">
        <w:rPr>
          <w:sz w:val="24"/>
          <w:szCs w:val="24"/>
        </w:rPr>
        <w:tab/>
        <w:t xml:space="preserve"> </w:t>
      </w:r>
      <w:r w:rsidRPr="00DD51CE">
        <w:rPr>
          <w:sz w:val="24"/>
          <w:szCs w:val="24"/>
        </w:rPr>
        <w:tab/>
      </w:r>
    </w:p>
    <w:p w14:paraId="0CF06F75" w14:textId="77777777" w:rsidR="004255D9" w:rsidRPr="00DD51CE" w:rsidRDefault="004255D9" w:rsidP="00DD51CE">
      <w:pPr>
        <w:widowControl/>
        <w:spacing w:after="120" w:line="240" w:lineRule="auto"/>
        <w:rPr>
          <w:sz w:val="24"/>
          <w:szCs w:val="24"/>
        </w:rPr>
      </w:pPr>
    </w:p>
    <w:sectPr w:rsidR="004255D9" w:rsidRPr="00DD51CE" w:rsidSect="006733FC">
      <w:headerReference w:type="default" r:id="rId13"/>
      <w:footerReference w:type="default" r:id="rId14"/>
      <w:headerReference w:type="first" r:id="rId15"/>
      <w:footerReference w:type="first" r:id="rId16"/>
      <w:pgSz w:w="11906" w:h="16838"/>
      <w:pgMar w:top="1440" w:right="1440" w:bottom="1440" w:left="1440" w:header="0"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0DD28" w14:textId="77777777" w:rsidR="009E5B61" w:rsidRDefault="009E5B61">
      <w:pPr>
        <w:spacing w:line="240" w:lineRule="auto"/>
      </w:pPr>
      <w:r>
        <w:separator/>
      </w:r>
    </w:p>
  </w:endnote>
  <w:endnote w:type="continuationSeparator" w:id="0">
    <w:p w14:paraId="360A5C0E" w14:textId="77777777" w:rsidR="009E5B61" w:rsidRDefault="009E5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7493" w14:textId="77777777" w:rsidR="00015EF8" w:rsidRDefault="00015EF8">
    <w:pPr>
      <w:rPr>
        <w:sz w:val="18"/>
        <w:szCs w:val="18"/>
      </w:rPr>
    </w:pPr>
  </w:p>
  <w:tbl>
    <w:tblPr>
      <w:tblStyle w:val="ab"/>
      <w:tblW w:w="9026"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015EF8" w:rsidRPr="00DD51CE" w14:paraId="0D679E21" w14:textId="77777777">
      <w:trPr>
        <w:jc w:val="right"/>
      </w:trPr>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C30851" w14:textId="602B882F" w:rsidR="00015EF8" w:rsidRPr="00EC286A" w:rsidRDefault="00015EF8">
          <w:pPr>
            <w:spacing w:line="240" w:lineRule="auto"/>
            <w:rPr>
              <w:sz w:val="20"/>
              <w:szCs w:val="20"/>
            </w:rPr>
          </w:pPr>
          <w:r w:rsidRPr="00EC286A">
            <w:rPr>
              <w:rFonts w:eastAsia="Calibri"/>
              <w:sz w:val="20"/>
              <w:szCs w:val="20"/>
            </w:rPr>
            <w:t xml:space="preserve">Číslo verze: </w:t>
          </w:r>
          <w:r w:rsidR="006D0317" w:rsidRPr="00EC286A">
            <w:rPr>
              <w:rFonts w:eastAsia="Calibri"/>
              <w:sz w:val="20"/>
              <w:szCs w:val="20"/>
            </w:rPr>
            <w:t>3</w:t>
          </w:r>
          <w:r w:rsidRPr="00EC286A">
            <w:rPr>
              <w:rFonts w:eastAsia="Calibri"/>
              <w:sz w:val="20"/>
              <w:szCs w:val="20"/>
            </w:rPr>
            <w:t xml:space="preserve">.0 </w:t>
          </w: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22C7E5" w14:textId="7A8C64B6" w:rsidR="00015EF8" w:rsidRPr="00EC286A" w:rsidRDefault="00015EF8">
          <w:pPr>
            <w:jc w:val="center"/>
            <w:rPr>
              <w:sz w:val="20"/>
              <w:szCs w:val="20"/>
            </w:rPr>
          </w:pPr>
          <w:r w:rsidRPr="00EC286A">
            <w:rPr>
              <w:rFonts w:eastAsia="Calibri"/>
              <w:sz w:val="20"/>
              <w:szCs w:val="20"/>
            </w:rPr>
            <w:t xml:space="preserve">Platnost od: </w:t>
          </w:r>
          <w:r w:rsidR="00F10EF6" w:rsidRPr="00EC286A">
            <w:rPr>
              <w:rFonts w:eastAsia="Calibri"/>
              <w:sz w:val="20"/>
              <w:szCs w:val="20"/>
            </w:rPr>
            <w:t>2</w:t>
          </w:r>
          <w:r w:rsidR="00665699" w:rsidRPr="00EC286A">
            <w:rPr>
              <w:rFonts w:eastAsia="Calibri"/>
              <w:sz w:val="20"/>
              <w:szCs w:val="20"/>
            </w:rPr>
            <w:t>6</w:t>
          </w:r>
          <w:r w:rsidRPr="00EC286A">
            <w:rPr>
              <w:rFonts w:eastAsia="Calibri"/>
              <w:sz w:val="20"/>
              <w:szCs w:val="20"/>
            </w:rPr>
            <w:t xml:space="preserve">. </w:t>
          </w:r>
          <w:r w:rsidR="006D0317" w:rsidRPr="00EC286A">
            <w:rPr>
              <w:rFonts w:eastAsia="Calibri"/>
              <w:sz w:val="20"/>
              <w:szCs w:val="20"/>
            </w:rPr>
            <w:t>8</w:t>
          </w:r>
          <w:r w:rsidRPr="00EC286A">
            <w:rPr>
              <w:rFonts w:eastAsia="Calibri"/>
              <w:sz w:val="20"/>
              <w:szCs w:val="20"/>
            </w:rPr>
            <w:t>. 2020</w:t>
          </w: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5B6612" w14:textId="77777777" w:rsidR="00015EF8" w:rsidRPr="00EC286A" w:rsidRDefault="00015EF8">
          <w:pPr>
            <w:pBdr>
              <w:top w:val="nil"/>
              <w:left w:val="nil"/>
              <w:bottom w:val="nil"/>
              <w:right w:val="nil"/>
              <w:between w:val="nil"/>
            </w:pBdr>
            <w:spacing w:line="240" w:lineRule="auto"/>
            <w:jc w:val="right"/>
            <w:rPr>
              <w:sz w:val="20"/>
              <w:szCs w:val="20"/>
            </w:rPr>
          </w:pPr>
          <w:r w:rsidRPr="00EC286A">
            <w:rPr>
              <w:sz w:val="20"/>
              <w:szCs w:val="20"/>
            </w:rPr>
            <w:t xml:space="preserve">Strana </w:t>
          </w:r>
          <w:r w:rsidRPr="00EC286A">
            <w:rPr>
              <w:sz w:val="20"/>
              <w:szCs w:val="20"/>
            </w:rPr>
            <w:fldChar w:fldCharType="begin"/>
          </w:r>
          <w:r w:rsidRPr="00EC286A">
            <w:rPr>
              <w:sz w:val="20"/>
              <w:szCs w:val="20"/>
            </w:rPr>
            <w:instrText>PAGE</w:instrText>
          </w:r>
          <w:r w:rsidRPr="00EC286A">
            <w:rPr>
              <w:sz w:val="20"/>
              <w:szCs w:val="20"/>
            </w:rPr>
            <w:fldChar w:fldCharType="separate"/>
          </w:r>
          <w:r w:rsidRPr="00EC286A">
            <w:rPr>
              <w:noProof/>
              <w:sz w:val="20"/>
              <w:szCs w:val="20"/>
            </w:rPr>
            <w:t>1</w:t>
          </w:r>
          <w:r w:rsidRPr="00EC286A">
            <w:rPr>
              <w:sz w:val="20"/>
              <w:szCs w:val="20"/>
            </w:rPr>
            <w:fldChar w:fldCharType="end"/>
          </w:r>
          <w:r w:rsidRPr="00EC286A">
            <w:rPr>
              <w:sz w:val="20"/>
              <w:szCs w:val="20"/>
            </w:rPr>
            <w:t xml:space="preserve"> (celkem </w:t>
          </w:r>
          <w:r w:rsidRPr="00EC286A">
            <w:rPr>
              <w:sz w:val="20"/>
              <w:szCs w:val="20"/>
            </w:rPr>
            <w:fldChar w:fldCharType="begin"/>
          </w:r>
          <w:r w:rsidRPr="00EC286A">
            <w:rPr>
              <w:sz w:val="20"/>
              <w:szCs w:val="20"/>
            </w:rPr>
            <w:instrText>NUMPAGES</w:instrText>
          </w:r>
          <w:r w:rsidRPr="00EC286A">
            <w:rPr>
              <w:sz w:val="20"/>
              <w:szCs w:val="20"/>
            </w:rPr>
            <w:fldChar w:fldCharType="separate"/>
          </w:r>
          <w:r w:rsidRPr="00EC286A">
            <w:rPr>
              <w:noProof/>
              <w:sz w:val="20"/>
              <w:szCs w:val="20"/>
            </w:rPr>
            <w:t>1</w:t>
          </w:r>
          <w:r w:rsidRPr="00EC286A">
            <w:rPr>
              <w:sz w:val="20"/>
              <w:szCs w:val="20"/>
            </w:rPr>
            <w:fldChar w:fldCharType="end"/>
          </w:r>
          <w:r w:rsidRPr="00EC286A">
            <w:rPr>
              <w:sz w:val="20"/>
              <w:szCs w:val="20"/>
            </w:rPr>
            <w:t>)</w:t>
          </w:r>
        </w:p>
      </w:tc>
    </w:tr>
    <w:tr w:rsidR="00015EF8" w:rsidRPr="00DD51CE" w14:paraId="2EBF6075" w14:textId="77777777">
      <w:trPr>
        <w:jc w:val="right"/>
      </w:trPr>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B8D300" w14:textId="77777777" w:rsidR="00015EF8" w:rsidRPr="00DD51CE" w:rsidRDefault="00015EF8">
          <w:pPr>
            <w:spacing w:line="240" w:lineRule="auto"/>
            <w:rPr>
              <w:rFonts w:ascii="Calibri" w:eastAsia="Calibri" w:hAnsi="Calibri" w:cs="Calibri"/>
            </w:rPr>
          </w:pP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836DCE" w14:textId="77777777" w:rsidR="00015EF8" w:rsidRPr="00DD51CE" w:rsidRDefault="00015EF8">
          <w:pPr>
            <w:jc w:val="center"/>
            <w:rPr>
              <w:rFonts w:ascii="Calibri" w:eastAsia="Calibri" w:hAnsi="Calibri" w:cs="Calibri"/>
            </w:rPr>
          </w:pP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186AA0" w14:textId="77777777" w:rsidR="00015EF8" w:rsidRPr="00DD51CE" w:rsidRDefault="00015EF8">
          <w:pPr>
            <w:pBdr>
              <w:top w:val="nil"/>
              <w:left w:val="nil"/>
              <w:bottom w:val="nil"/>
              <w:right w:val="nil"/>
              <w:between w:val="nil"/>
            </w:pBdr>
            <w:spacing w:line="240" w:lineRule="auto"/>
            <w:jc w:val="right"/>
            <w:rPr>
              <w:rFonts w:ascii="Calibri" w:hAnsi="Calibri" w:cs="Calibri"/>
            </w:rPr>
          </w:pPr>
        </w:p>
      </w:tc>
    </w:tr>
  </w:tbl>
  <w:p w14:paraId="5B2A0671" w14:textId="77777777" w:rsidR="00015EF8" w:rsidRDefault="00015EF8">
    <w:pPr>
      <w:jc w:val="right"/>
    </w:pPr>
    <w:r>
      <w:tab/>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5" w:type="dxa"/>
      <w:tblInd w:w="-108" w:type="dxa"/>
      <w:tblLayout w:type="fixed"/>
      <w:tblLook w:val="0000" w:firstRow="0" w:lastRow="0" w:firstColumn="0" w:lastColumn="0" w:noHBand="0" w:noVBand="0"/>
    </w:tblPr>
    <w:tblGrid>
      <w:gridCol w:w="2900"/>
      <w:gridCol w:w="3502"/>
      <w:gridCol w:w="3253"/>
    </w:tblGrid>
    <w:tr w:rsidR="00015EF8" w14:paraId="1ADAD526" w14:textId="77777777" w:rsidTr="006733FC">
      <w:trPr>
        <w:trHeight w:val="480"/>
      </w:trPr>
      <w:tc>
        <w:tcPr>
          <w:tcW w:w="2900" w:type="dxa"/>
          <w:shd w:val="clear" w:color="auto" w:fill="auto"/>
        </w:tcPr>
        <w:p w14:paraId="438296D0" w14:textId="3ED02DD6" w:rsidR="00015EF8" w:rsidRPr="00EC286A" w:rsidRDefault="00015EF8" w:rsidP="006733FC">
          <w:pPr>
            <w:tabs>
              <w:tab w:val="right" w:pos="9072"/>
            </w:tabs>
            <w:spacing w:line="240" w:lineRule="auto"/>
            <w:rPr>
              <w:rFonts w:eastAsia="Calibri"/>
              <w:sz w:val="20"/>
              <w:szCs w:val="20"/>
            </w:rPr>
          </w:pPr>
          <w:r w:rsidRPr="00EC286A">
            <w:rPr>
              <w:rFonts w:eastAsia="Calibri"/>
              <w:sz w:val="20"/>
              <w:szCs w:val="20"/>
            </w:rPr>
            <w:t xml:space="preserve">Číslo verze: </w:t>
          </w:r>
          <w:r w:rsidR="00F04592" w:rsidRPr="00EC286A">
            <w:rPr>
              <w:rFonts w:eastAsia="Calibri"/>
              <w:sz w:val="20"/>
              <w:szCs w:val="20"/>
            </w:rPr>
            <w:t>3</w:t>
          </w:r>
          <w:r w:rsidRPr="00EC286A">
            <w:rPr>
              <w:rFonts w:eastAsia="Calibri"/>
              <w:sz w:val="20"/>
              <w:szCs w:val="20"/>
            </w:rPr>
            <w:t xml:space="preserve">.0 </w:t>
          </w:r>
        </w:p>
      </w:tc>
      <w:tc>
        <w:tcPr>
          <w:tcW w:w="3502" w:type="dxa"/>
          <w:shd w:val="clear" w:color="auto" w:fill="auto"/>
        </w:tcPr>
        <w:p w14:paraId="03E09444" w14:textId="3D09B26C" w:rsidR="00015EF8" w:rsidRPr="00EC286A" w:rsidRDefault="00015EF8" w:rsidP="006733FC">
          <w:pPr>
            <w:tabs>
              <w:tab w:val="right" w:pos="9072"/>
            </w:tabs>
            <w:spacing w:line="240" w:lineRule="auto"/>
            <w:jc w:val="center"/>
            <w:rPr>
              <w:sz w:val="20"/>
              <w:szCs w:val="20"/>
            </w:rPr>
          </w:pPr>
          <w:r w:rsidRPr="00EC286A">
            <w:rPr>
              <w:rFonts w:eastAsia="Calibri"/>
              <w:sz w:val="20"/>
              <w:szCs w:val="20"/>
            </w:rPr>
            <w:t xml:space="preserve">Platnost od: </w:t>
          </w:r>
          <w:r w:rsidR="00F04592" w:rsidRPr="00EC286A">
            <w:rPr>
              <w:rFonts w:eastAsia="Calibri"/>
              <w:sz w:val="20"/>
              <w:szCs w:val="20"/>
            </w:rPr>
            <w:t>26</w:t>
          </w:r>
          <w:r w:rsidRPr="00EC286A">
            <w:rPr>
              <w:rFonts w:eastAsia="Calibri"/>
              <w:sz w:val="20"/>
              <w:szCs w:val="20"/>
            </w:rPr>
            <w:t xml:space="preserve">. </w:t>
          </w:r>
          <w:r w:rsidR="00F04592" w:rsidRPr="00EC286A">
            <w:rPr>
              <w:rFonts w:eastAsia="Calibri"/>
              <w:sz w:val="20"/>
              <w:szCs w:val="20"/>
            </w:rPr>
            <w:t>8</w:t>
          </w:r>
          <w:r w:rsidRPr="00EC286A">
            <w:rPr>
              <w:rFonts w:eastAsia="Calibri"/>
              <w:sz w:val="20"/>
              <w:szCs w:val="20"/>
            </w:rPr>
            <w:t>. 2020</w:t>
          </w:r>
        </w:p>
      </w:tc>
      <w:tc>
        <w:tcPr>
          <w:tcW w:w="3253" w:type="dxa"/>
          <w:shd w:val="clear" w:color="auto" w:fill="auto"/>
        </w:tcPr>
        <w:p w14:paraId="59A49AFE" w14:textId="77777777" w:rsidR="00015EF8" w:rsidRPr="00EC286A" w:rsidRDefault="00015EF8" w:rsidP="006733FC">
          <w:pPr>
            <w:tabs>
              <w:tab w:val="right" w:pos="9072"/>
            </w:tabs>
            <w:spacing w:line="240" w:lineRule="auto"/>
            <w:jc w:val="center"/>
            <w:rPr>
              <w:sz w:val="20"/>
              <w:szCs w:val="20"/>
            </w:rPr>
          </w:pPr>
          <w:r w:rsidRPr="00EC286A">
            <w:rPr>
              <w:rFonts w:eastAsia="Calibri"/>
              <w:sz w:val="20"/>
              <w:szCs w:val="20"/>
            </w:rPr>
            <w:t xml:space="preserve"> Strana </w:t>
          </w:r>
          <w:r w:rsidRPr="00EC286A">
            <w:rPr>
              <w:sz w:val="20"/>
              <w:szCs w:val="20"/>
            </w:rPr>
            <w:fldChar w:fldCharType="begin"/>
          </w:r>
          <w:r w:rsidRPr="00EC286A">
            <w:rPr>
              <w:sz w:val="20"/>
              <w:szCs w:val="20"/>
            </w:rPr>
            <w:instrText>PAGE</w:instrText>
          </w:r>
          <w:r w:rsidRPr="00EC286A">
            <w:rPr>
              <w:sz w:val="20"/>
              <w:szCs w:val="20"/>
            </w:rPr>
            <w:fldChar w:fldCharType="separate"/>
          </w:r>
          <w:r w:rsidRPr="00EC286A">
            <w:rPr>
              <w:noProof/>
              <w:sz w:val="20"/>
              <w:szCs w:val="20"/>
            </w:rPr>
            <w:t>1</w:t>
          </w:r>
          <w:r w:rsidRPr="00EC286A">
            <w:rPr>
              <w:sz w:val="20"/>
              <w:szCs w:val="20"/>
            </w:rPr>
            <w:fldChar w:fldCharType="end"/>
          </w:r>
          <w:r w:rsidRPr="00EC286A">
            <w:rPr>
              <w:rFonts w:eastAsia="Calibri"/>
              <w:sz w:val="20"/>
              <w:szCs w:val="20"/>
            </w:rPr>
            <w:t xml:space="preserve"> (celkem </w:t>
          </w:r>
          <w:r w:rsidRPr="00EC286A">
            <w:rPr>
              <w:sz w:val="20"/>
              <w:szCs w:val="20"/>
            </w:rPr>
            <w:fldChar w:fldCharType="begin"/>
          </w:r>
          <w:r w:rsidRPr="00EC286A">
            <w:rPr>
              <w:sz w:val="20"/>
              <w:szCs w:val="20"/>
            </w:rPr>
            <w:instrText>NUMPAGES</w:instrText>
          </w:r>
          <w:r w:rsidRPr="00EC286A">
            <w:rPr>
              <w:sz w:val="20"/>
              <w:szCs w:val="20"/>
            </w:rPr>
            <w:fldChar w:fldCharType="separate"/>
          </w:r>
          <w:r w:rsidRPr="00EC286A">
            <w:rPr>
              <w:noProof/>
              <w:sz w:val="20"/>
              <w:szCs w:val="20"/>
            </w:rPr>
            <w:t>1</w:t>
          </w:r>
          <w:r w:rsidRPr="00EC286A">
            <w:rPr>
              <w:sz w:val="20"/>
              <w:szCs w:val="20"/>
            </w:rPr>
            <w:fldChar w:fldCharType="end"/>
          </w:r>
          <w:r w:rsidRPr="00EC286A">
            <w:rPr>
              <w:rFonts w:eastAsia="Calibri"/>
              <w:sz w:val="20"/>
              <w:szCs w:val="20"/>
            </w:rPr>
            <w:t>)</w:t>
          </w:r>
        </w:p>
      </w:tc>
    </w:tr>
  </w:tbl>
  <w:p w14:paraId="582FC23C" w14:textId="77777777" w:rsidR="00015EF8" w:rsidRDefault="00015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096F9" w14:textId="77777777" w:rsidR="009E5B61" w:rsidRDefault="009E5B61">
      <w:pPr>
        <w:spacing w:line="240" w:lineRule="auto"/>
      </w:pPr>
      <w:r>
        <w:separator/>
      </w:r>
    </w:p>
  </w:footnote>
  <w:footnote w:type="continuationSeparator" w:id="0">
    <w:p w14:paraId="48D9A0D4" w14:textId="77777777" w:rsidR="009E5B61" w:rsidRDefault="009E5B61">
      <w:pPr>
        <w:spacing w:line="240" w:lineRule="auto"/>
      </w:pPr>
      <w:r>
        <w:continuationSeparator/>
      </w:r>
    </w:p>
  </w:footnote>
  <w:footnote w:id="1">
    <w:p w14:paraId="7B48BA28" w14:textId="3CF43B4F" w:rsidR="00015EF8" w:rsidRPr="00D06082" w:rsidRDefault="00015EF8">
      <w:pPr>
        <w:pStyle w:val="Textpoznpodarou"/>
        <w:rPr>
          <w:lang w:val="cs-CZ"/>
        </w:rPr>
      </w:pPr>
      <w:r>
        <w:rPr>
          <w:rStyle w:val="Znakapoznpodarou"/>
        </w:rPr>
        <w:footnoteRef/>
      </w:r>
      <w:r>
        <w:t xml:space="preserve"> </w:t>
      </w:r>
      <w:r w:rsidRPr="00D06082">
        <w:t xml:space="preserve">V případě nižšího </w:t>
      </w:r>
      <w:r w:rsidR="009E5F40">
        <w:t>(</w:t>
      </w:r>
      <w:r w:rsidRPr="00D06082">
        <w:t xml:space="preserve">než </w:t>
      </w:r>
      <w:r w:rsidR="009A6E09">
        <w:t>celého</w:t>
      </w:r>
      <w:r w:rsidRPr="00D06082">
        <w:t xml:space="preserve"> úvazku</w:t>
      </w:r>
      <w:r w:rsidR="009E5F40">
        <w:t>)</w:t>
      </w:r>
      <w:r w:rsidRPr="00D06082">
        <w:t xml:space="preserve"> se praxe poměrně prodlužuje.</w:t>
      </w:r>
    </w:p>
  </w:footnote>
  <w:footnote w:id="2">
    <w:p w14:paraId="65552157" w14:textId="77777777" w:rsidR="00015EF8" w:rsidRDefault="00015EF8" w:rsidP="004C43EE">
      <w:pPr>
        <w:pStyle w:val="Poznmka"/>
      </w:pPr>
      <w:r>
        <w:rPr>
          <w:vertAlign w:val="superscript"/>
        </w:rPr>
        <w:footnoteRef/>
      </w:r>
      <w:r>
        <w:t xml:space="preserve"> Vzdělávací program neurologie, Věstník MZ částka 7, červen 2015; Vzdělávací program dětské lékařství, Věstník MZ částka 8, listopad 2009; Vzdělávací program DN Věstník 2015.</w:t>
      </w:r>
    </w:p>
  </w:footnote>
  <w:footnote w:id="3">
    <w:p w14:paraId="0DECF341" w14:textId="77777777" w:rsidR="00015EF8" w:rsidRDefault="00015EF8" w:rsidP="004C43EE">
      <w:pPr>
        <w:pStyle w:val="Poznmka"/>
      </w:pPr>
      <w:r>
        <w:rPr>
          <w:vertAlign w:val="superscript"/>
        </w:rPr>
        <w:footnoteRef/>
      </w:r>
      <w:r>
        <w:t xml:space="preserve"> Vyhláška č. 221/2018 Sb., o vzdělávání v základních kmenech lékařů, vyžaduje praxi v délce 30 měsíců.</w:t>
      </w:r>
    </w:p>
  </w:footnote>
  <w:footnote w:id="4">
    <w:p w14:paraId="749CC2EF" w14:textId="77777777" w:rsidR="00015EF8" w:rsidRDefault="00015EF8" w:rsidP="002A0918">
      <w:pPr>
        <w:pStyle w:val="Poznmka"/>
      </w:pPr>
      <w:r>
        <w:rPr>
          <w:vertAlign w:val="superscript"/>
        </w:rPr>
        <w:footnoteRef/>
      </w:r>
      <w:r>
        <w:t xml:space="preserve"> Resp. kteří teoretickou část </w:t>
      </w:r>
      <w:r w:rsidRPr="002A0918">
        <w:t>vzdělávání</w:t>
      </w:r>
      <w:r>
        <w:t xml:space="preserve"> absolvovali před více než pěti, resp. 10 lety. </w:t>
      </w:r>
    </w:p>
  </w:footnote>
  <w:footnote w:id="5">
    <w:p w14:paraId="3CEF50B9" w14:textId="476EE786" w:rsidR="00015EF8" w:rsidRDefault="00015EF8" w:rsidP="004C43EE">
      <w:pPr>
        <w:pStyle w:val="Poznmka"/>
      </w:pPr>
      <w:r>
        <w:rPr>
          <w:vertAlign w:val="superscript"/>
        </w:rPr>
        <w:footnoteRef/>
      </w:r>
      <w:r>
        <w:t xml:space="preserve"> Vzdělávací program DN Věstník 2018 umožňuje za určitých okolností absolvovat v průběhu specializovaného výcviku teoretickou část vzdělávání, která jinak podle vyhlášky č. 221/2018 Sb., o vzdělávání v základních kmenech lékařů spadá do vzdělávání v základním kmeni.</w:t>
      </w:r>
    </w:p>
  </w:footnote>
  <w:footnote w:id="6">
    <w:p w14:paraId="6AD68FD8" w14:textId="392848D6" w:rsidR="00015EF8" w:rsidRPr="002264C3" w:rsidRDefault="00015EF8" w:rsidP="004C43EE">
      <w:pPr>
        <w:pStyle w:val="Poznmka"/>
        <w:rPr>
          <w:lang w:val="cs-CZ"/>
        </w:rPr>
      </w:pPr>
      <w:r>
        <w:rPr>
          <w:rStyle w:val="Znakapoznpodarou"/>
        </w:rPr>
        <w:footnoteRef/>
      </w:r>
      <w:r>
        <w:t xml:space="preserve"> </w:t>
      </w:r>
      <w:r>
        <w:rPr>
          <w:lang w:val="cs-CZ"/>
        </w:rPr>
        <w:t xml:space="preserve">Pro účely tohoto Metodického pokynu se nerozlišuje mezi nákladem a výdajem. </w:t>
      </w:r>
    </w:p>
  </w:footnote>
  <w:footnote w:id="7">
    <w:p w14:paraId="323DEFEF" w14:textId="44E9624E" w:rsidR="00015EF8" w:rsidRDefault="00015EF8" w:rsidP="004C43EE">
      <w:pPr>
        <w:pStyle w:val="Poznmka"/>
        <w:rPr>
          <w:vertAlign w:val="superscript"/>
        </w:rPr>
      </w:pPr>
      <w:r>
        <w:rPr>
          <w:vertAlign w:val="superscript"/>
        </w:rPr>
        <w:footnoteRef/>
      </w:r>
      <w:r>
        <w:rPr>
          <w:vertAlign w:val="superscript"/>
        </w:rPr>
        <w:t xml:space="preserve"> </w:t>
      </w:r>
      <w:r>
        <w:t>Účastník se může účastnit tedy pouze těch KA, které jsou výslovně uvedeny v jeho IVP, který je přílohou Rozhodnutí. V případě, že účastník má zájem se účastnit i jiné KA, než je uvedeno v Rozhodnutí, musí požádat o změnu.</w:t>
      </w:r>
    </w:p>
  </w:footnote>
  <w:footnote w:id="8">
    <w:p w14:paraId="0D2A640B" w14:textId="6F7A8153" w:rsidR="00015EF8" w:rsidRPr="004C43EE" w:rsidRDefault="00015EF8" w:rsidP="004C43EE">
      <w:pPr>
        <w:pStyle w:val="Poznmka"/>
      </w:pPr>
      <w:r>
        <w:rPr>
          <w:vertAlign w:val="superscript"/>
        </w:rPr>
        <w:footnoteRef/>
      </w:r>
      <w:r>
        <w:t xml:space="preserve"> Resp. který vznikl </w:t>
      </w:r>
      <w:r w:rsidRPr="004C43EE">
        <w:t xml:space="preserve">v průběhu monitorovacích období stanovených v tomto Metodickém pokynu, a byl uhrazen nejpozději do jednoho měsíce následujícího po uplynutí posledního monitorovacího období. Příjemce může nárokovat i výdaje, které vznikly v předchozích monitorovacích obdobích, pokud tak dosud neudělal. </w:t>
      </w:r>
    </w:p>
    <w:p w14:paraId="2E4CA0A9" w14:textId="48BFB6E3" w:rsidR="00015EF8" w:rsidRPr="004C43EE" w:rsidRDefault="00015EF8" w:rsidP="004C43EE">
      <w:pPr>
        <w:pStyle w:val="Poznmka"/>
      </w:pPr>
      <w:r w:rsidRPr="004C43EE">
        <w:t xml:space="preserve">Pro případný přepočet uhrazené částky z cizí měny na CZK se postupuje podle 10. vydání </w:t>
      </w:r>
      <w:r>
        <w:t>Specifických pravidel</w:t>
      </w:r>
      <w:r w:rsidRPr="004C43EE">
        <w:t>, kapitoly 6.1.4 - viz www.esfcr.cz.</w:t>
      </w:r>
    </w:p>
    <w:p w14:paraId="4CBC42BE" w14:textId="77777777" w:rsidR="00015EF8" w:rsidRDefault="00015EF8">
      <w:pPr>
        <w:spacing w:line="240" w:lineRule="auto"/>
        <w:rPr>
          <w:sz w:val="20"/>
          <w:szCs w:val="20"/>
        </w:rPr>
      </w:pPr>
    </w:p>
    <w:p w14:paraId="6D595A92" w14:textId="77777777" w:rsidR="00015EF8" w:rsidRDefault="00015EF8">
      <w:pPr>
        <w:spacing w:line="240" w:lineRule="auto"/>
        <w:rPr>
          <w:sz w:val="20"/>
          <w:szCs w:val="20"/>
        </w:rPr>
      </w:pPr>
    </w:p>
  </w:footnote>
  <w:footnote w:id="9">
    <w:p w14:paraId="17F4944B" w14:textId="77777777" w:rsidR="00015EF8" w:rsidRDefault="00015EF8" w:rsidP="004C43EE">
      <w:pPr>
        <w:pStyle w:val="Poznmka"/>
      </w:pPr>
      <w:r>
        <w:rPr>
          <w:vertAlign w:val="superscript"/>
        </w:rPr>
        <w:footnoteRef/>
      </w:r>
      <w:r>
        <w:t xml:space="preserve"> V případě cestovních náhrad stačí označit cestovní příkaz.</w:t>
      </w:r>
    </w:p>
  </w:footnote>
  <w:footnote w:id="10">
    <w:p w14:paraId="1CE9C176" w14:textId="7D08C0DE" w:rsidR="00015EF8" w:rsidRDefault="00015EF8" w:rsidP="004C43EE">
      <w:pPr>
        <w:pStyle w:val="Poznmka"/>
        <w:rPr>
          <w:vertAlign w:val="superscript"/>
        </w:rPr>
      </w:pPr>
      <w:r>
        <w:rPr>
          <w:vertAlign w:val="superscript"/>
        </w:rPr>
        <w:footnoteRef/>
      </w:r>
      <w:r>
        <w:t xml:space="preserve"> Hodina jakožto jednotka času o délce 60 </w:t>
      </w:r>
      <w:r w:rsidRPr="006733FC">
        <w:t>minut. Avšak ve výkazech, resp. v tabulce Vyúčtování není nutné</w:t>
      </w:r>
      <w:r>
        <w:t xml:space="preserve"> uvádět celé hodiny, tj. je možné např. uvést 6,5 hod, 7,70 hod. apod. Výše hodin v případě KA5 až KA9 však musí korespondovat s výši hodin uvedenou na prezenčních listinách (případně může být počet hodin ve Vyúčtování nižší).</w:t>
      </w:r>
    </w:p>
  </w:footnote>
  <w:footnote w:id="11">
    <w:p w14:paraId="4EAF98E5" w14:textId="46847C8E" w:rsidR="00015EF8" w:rsidRPr="00BB174D" w:rsidRDefault="00015EF8" w:rsidP="004C43EE">
      <w:pPr>
        <w:pStyle w:val="Poznmka"/>
      </w:pPr>
      <w:r>
        <w:rPr>
          <w:vertAlign w:val="superscript"/>
        </w:rPr>
        <w:footnoteRef/>
      </w:r>
      <w:r>
        <w:t xml:space="preserve"> V případě KA1 až KA4 realizovaných IPVZ je možné se účastnit uvedených kurzů i ve variantě s vyšší časovou dotací, než danému účastníkovi dle kapitoly Zapojení účastníků do klíčových aktivit v tomto Metodickém pokynu přísluší, a to do </w:t>
      </w:r>
      <w:r w:rsidRPr="00BB174D">
        <w:t>doby akreditace nových (kratších) kurzů IPVZ a také za předpokladu, že IPVZ v dané době nevypsal kurzy s nižší časovou dotací.</w:t>
      </w:r>
    </w:p>
  </w:footnote>
  <w:footnote w:id="12">
    <w:p w14:paraId="4189588A" w14:textId="5A9FCE5F" w:rsidR="00015EF8" w:rsidRDefault="00015EF8" w:rsidP="004C43EE">
      <w:pPr>
        <w:pStyle w:val="Poznmka"/>
      </w:pPr>
      <w:r w:rsidRPr="00BB174D">
        <w:rPr>
          <w:vertAlign w:val="superscript"/>
        </w:rPr>
        <w:footnoteRef/>
      </w:r>
      <w:r w:rsidRPr="00BB174D">
        <w:t xml:space="preserve"> V případě že není v průkazu odbornosti / logbooku učiněn záznam za zbývající praxi, je počítán měsíc praxe jako 20 dní a týden praxe jako 5 dní.</w:t>
      </w:r>
      <w:r>
        <w:t xml:space="preserve"> </w:t>
      </w:r>
    </w:p>
  </w:footnote>
  <w:footnote w:id="13">
    <w:p w14:paraId="4D168DAF" w14:textId="6871ABDD" w:rsidR="00015EF8" w:rsidRDefault="00015EF8" w:rsidP="004C43EE">
      <w:pPr>
        <w:pStyle w:val="Poznmka"/>
      </w:pPr>
      <w:r>
        <w:rPr>
          <w:vertAlign w:val="superscript"/>
        </w:rPr>
        <w:footnoteRef/>
      </w:r>
      <w:r>
        <w:t xml:space="preserve"> V případě, že účastník bude mít v průkazu odbornosti / logbooku </w:t>
      </w:r>
      <w:r w:rsidRPr="004C43EE">
        <w:rPr>
          <w:rStyle w:val="PoznmkaChar"/>
        </w:rPr>
        <w:t>uveden plný (maximální) počet měsíců, avšak ve skutečnosti v rámci uvedené doby čerpal dovolenou či byl nemocen apod., je možné maximální limity v Projektu, uvedené v</w:t>
      </w:r>
      <w:r>
        <w:rPr>
          <w:rStyle w:val="PoznmkaChar"/>
        </w:rPr>
        <w:t> tomto Metodickém pokynu, v</w:t>
      </w:r>
      <w:r w:rsidRPr="004C43EE">
        <w:rPr>
          <w:rStyle w:val="PoznmkaChar"/>
        </w:rPr>
        <w:t xml:space="preserve"> kapitole Zapojení účastníků do klíčových</w:t>
      </w:r>
      <w:r w:rsidRPr="00667856">
        <w:rPr>
          <w:rStyle w:val="PoznmkaChar"/>
        </w:rPr>
        <w:t xml:space="preserve"> aktivit, překročit</w:t>
      </w:r>
      <w:r>
        <w:t>, a to až o 10 %. Je nutné si však o prodloužení zažádat.</w:t>
      </w:r>
    </w:p>
  </w:footnote>
  <w:footnote w:id="14">
    <w:p w14:paraId="75464D76" w14:textId="1EC12134" w:rsidR="00015EF8" w:rsidRDefault="00015EF8" w:rsidP="004C43EE">
      <w:pPr>
        <w:pStyle w:val="Poznmka"/>
      </w:pPr>
      <w:r>
        <w:rPr>
          <w:vertAlign w:val="superscript"/>
        </w:rPr>
        <w:footnoteRef/>
      </w:r>
      <w:r>
        <w:t xml:space="preserve"> V případě přerušení účasti na kurzu (např. z důvodu nemoci apod.) a následné účasti na stejném kurzu (ale v jiném termínu), je možné proplatit náklady za tyto kurzy, dohromady však maximálně do výše uvedené v tomto Metodickém pokynu, v kapitole Maximální limity pro vzdělávací aktivity pro konkrétní kurz.</w:t>
      </w:r>
    </w:p>
  </w:footnote>
  <w:footnote w:id="15">
    <w:p w14:paraId="25168E5F" w14:textId="5F130598" w:rsidR="00015EF8" w:rsidRDefault="00015EF8" w:rsidP="004C43EE">
      <w:pPr>
        <w:pStyle w:val="Poznmka"/>
      </w:pPr>
      <w:r>
        <w:rPr>
          <w:vertAlign w:val="superscript"/>
        </w:rPr>
        <w:footnoteRef/>
      </w:r>
      <w:r>
        <w:t xml:space="preserve"> V případě, že se účast na jednom kurzu protáhne do více monitorovacích období, budou výdaje k danému kurzu zahrnuty do Vyúčtování až (nejdříve) za období, ve kterém dojde k dokončení kurzu. </w:t>
      </w:r>
    </w:p>
  </w:footnote>
  <w:footnote w:id="16">
    <w:p w14:paraId="6D609891" w14:textId="0EE0BBA8" w:rsidR="00015EF8" w:rsidRDefault="00015EF8" w:rsidP="004C43EE">
      <w:pPr>
        <w:pStyle w:val="Poznmka"/>
        <w:rPr>
          <w:rFonts w:ascii="Calibri" w:eastAsia="Calibri" w:hAnsi="Calibri" w:cs="Calibri"/>
        </w:rPr>
      </w:pPr>
      <w:r>
        <w:rPr>
          <w:vertAlign w:val="superscript"/>
        </w:rPr>
        <w:footnoteRef/>
      </w:r>
      <w:r>
        <w:rPr>
          <w:rFonts w:ascii="Calibri" w:eastAsia="Calibri" w:hAnsi="Calibri" w:cs="Calibri"/>
        </w:rPr>
        <w:t xml:space="preserve"> </w:t>
      </w:r>
      <w:r w:rsidRPr="00983B27">
        <w:t>Moment úplného absolvování, tj. dokončení, kurzu je moment, kdy je proveden příslušný záznam do průkazu odbornosti / logbooku.</w:t>
      </w:r>
    </w:p>
  </w:footnote>
  <w:footnote w:id="17">
    <w:p w14:paraId="0E141C1A" w14:textId="3594B225" w:rsidR="00015EF8" w:rsidRPr="00202D38" w:rsidRDefault="00015EF8" w:rsidP="004C43EE">
      <w:pPr>
        <w:pStyle w:val="Poznmka"/>
        <w:rPr>
          <w:lang w:val="cs-CZ"/>
        </w:rPr>
      </w:pPr>
      <w:r>
        <w:rPr>
          <w:rStyle w:val="Znakapoznpodarou"/>
        </w:rPr>
        <w:footnoteRef/>
      </w:r>
      <w:r>
        <w:t xml:space="preserve"> </w:t>
      </w:r>
      <w:r>
        <w:rPr>
          <w:lang w:val="cs-CZ"/>
        </w:rPr>
        <w:t>Dále také pouze jen „mzdový/platový příspěvek“ nebo jen „mzdový příspěvek“.</w:t>
      </w:r>
    </w:p>
  </w:footnote>
  <w:footnote w:id="18">
    <w:p w14:paraId="48EA82FF" w14:textId="77777777" w:rsidR="00015EF8" w:rsidRDefault="00015EF8" w:rsidP="004C43EE">
      <w:pPr>
        <w:pStyle w:val="Poznmka"/>
      </w:pPr>
      <w:r>
        <w:rPr>
          <w:vertAlign w:val="superscript"/>
        </w:rPr>
        <w:footnoteRef/>
      </w:r>
      <w:r>
        <w:rPr>
          <w:rFonts w:ascii="Calibri" w:eastAsia="Calibri" w:hAnsi="Calibri" w:cs="Calibri"/>
        </w:rPr>
        <w:t xml:space="preserve"> </w:t>
      </w:r>
      <w:r w:rsidRPr="005A65BA">
        <w:t>Včetně odvodů (viz výše) a včetně případných dalších výdajů (viz výše).</w:t>
      </w:r>
      <w:r>
        <w:rPr>
          <w:rFonts w:ascii="Calibri" w:eastAsia="Calibri" w:hAnsi="Calibri" w:cs="Calibri"/>
        </w:rPr>
        <w:t xml:space="preserve"> </w:t>
      </w:r>
    </w:p>
  </w:footnote>
  <w:footnote w:id="19">
    <w:p w14:paraId="67B05484" w14:textId="77777777" w:rsidR="00015EF8" w:rsidRDefault="00015EF8" w:rsidP="004C43EE">
      <w:pPr>
        <w:pStyle w:val="Poznmka"/>
      </w:pPr>
      <w:r>
        <w:rPr>
          <w:vertAlign w:val="superscript"/>
        </w:rPr>
        <w:footnoteRef/>
      </w:r>
      <w:r>
        <w:t xml:space="preserve"> Tj. maximálně lze proplatit 8 hodin za den.</w:t>
      </w:r>
    </w:p>
  </w:footnote>
  <w:footnote w:id="20">
    <w:p w14:paraId="72A72AA9" w14:textId="00940CBC" w:rsidR="00015EF8" w:rsidRDefault="00015EF8" w:rsidP="004C43EE">
      <w:pPr>
        <w:pStyle w:val="Poznmka"/>
      </w:pPr>
      <w:r>
        <w:rPr>
          <w:vertAlign w:val="superscript"/>
        </w:rPr>
        <w:footnoteRef/>
      </w:r>
      <w:r>
        <w:t xml:space="preserve"> </w:t>
      </w:r>
      <w:r w:rsidRPr="009E5F40">
        <w:t xml:space="preserve">Celkový počet hodin vzdělávacích aktivit nesmí za daný kalendářní měsíc přesáhnout úvazek vyjádřený v hodinách za tento měsíc. Úvazek v jednotlivých dnech ale lze překročit: např. plný úvazek je stanovený na 7,75 hodiny/den (resp. 38,7/týden), </w:t>
      </w:r>
      <w:r w:rsidR="009E5F40">
        <w:t xml:space="preserve">nebo je stanovený poloviční úvazek, </w:t>
      </w:r>
      <w:r w:rsidRPr="009E5F40">
        <w:t>avšak je možné uhradit účast na kurzu ve výši 8 hodin/den.</w:t>
      </w:r>
    </w:p>
  </w:footnote>
  <w:footnote w:id="21">
    <w:p w14:paraId="54145CCE" w14:textId="0A6BC47E" w:rsidR="00015EF8" w:rsidRDefault="00015EF8" w:rsidP="004C43EE">
      <w:pPr>
        <w:pStyle w:val="Poznmka"/>
      </w:pPr>
      <w:r>
        <w:rPr>
          <w:vertAlign w:val="superscript"/>
        </w:rPr>
        <w:footnoteRef/>
      </w:r>
      <w:r>
        <w:t xml:space="preserve"> Tj. ne v </w:t>
      </w:r>
      <w:r w:rsidRPr="00ED26C3">
        <w:t>případě</w:t>
      </w:r>
      <w:r>
        <w:t xml:space="preserve"> atestace.</w:t>
      </w:r>
    </w:p>
  </w:footnote>
  <w:footnote w:id="22">
    <w:p w14:paraId="02BEAB5E" w14:textId="3C873E7F" w:rsidR="00015EF8" w:rsidRPr="00CB4716" w:rsidRDefault="00015EF8" w:rsidP="00ED26C3">
      <w:pPr>
        <w:pStyle w:val="Poznmka"/>
        <w:rPr>
          <w:lang w:val="cs-CZ"/>
        </w:rPr>
      </w:pPr>
      <w:r>
        <w:rPr>
          <w:rStyle w:val="Znakapoznpodarou"/>
        </w:rPr>
        <w:footnoteRef/>
      </w:r>
      <w:r>
        <w:t xml:space="preserve"> U souvislých vícedenních vzdělávacích aktivit je způsobilým výdajem ubytování mezi jednotlivými dny vzdělávacích aktivit, pokud např. odborná praxe trvá od úterý do pátku, </w:t>
      </w:r>
      <w:r w:rsidRPr="002F4119">
        <w:t>způsobilými výdaji jsou výdaje za ubytování za tři noci (z úterý na středu, ze středy na čtvrtek a ze čtvrtku na pátek). Případná n</w:t>
      </w:r>
      <w:r w:rsidRPr="005A65BA">
        <w:t>oc před začátkem a noc po ukončení souvislé vzdělávací aktivity musí být řádně zdůvodněna, aby mohla být uznána jako způsobilý výdaj.</w:t>
      </w:r>
    </w:p>
  </w:footnote>
  <w:footnote w:id="23">
    <w:p w14:paraId="6B4DFB3A" w14:textId="7A9E9DB5" w:rsidR="00015EF8" w:rsidRDefault="00015EF8" w:rsidP="00ED26C3">
      <w:pPr>
        <w:pStyle w:val="Poznmka"/>
      </w:pPr>
      <w:r w:rsidRPr="00DB3375">
        <w:rPr>
          <w:vertAlign w:val="superscript"/>
        </w:rPr>
        <w:footnoteRef/>
      </w:r>
      <w:r w:rsidRPr="00DB3375">
        <w:t xml:space="preserve"> Viz kapitola 2.3.3.4 tohoto Metodického pokynu.</w:t>
      </w:r>
    </w:p>
  </w:footnote>
  <w:footnote w:id="24">
    <w:p w14:paraId="29ABCD9E" w14:textId="77777777" w:rsidR="00015EF8" w:rsidRDefault="00015EF8" w:rsidP="004C43EE">
      <w:pPr>
        <w:pStyle w:val="Poznmka"/>
      </w:pPr>
      <w:r>
        <w:rPr>
          <w:vertAlign w:val="superscript"/>
        </w:rPr>
        <w:footnoteRef/>
      </w:r>
      <w:r>
        <w:t xml:space="preserve"> Ubytování se do této částky nezapočítává.</w:t>
      </w:r>
    </w:p>
  </w:footnote>
  <w:footnote w:id="25">
    <w:p w14:paraId="36C41E43" w14:textId="77777777" w:rsidR="00015EF8" w:rsidRDefault="00015EF8" w:rsidP="004C43EE">
      <w:pPr>
        <w:pStyle w:val="Poznmka"/>
      </w:pPr>
      <w:r>
        <w:rPr>
          <w:vertAlign w:val="superscript"/>
        </w:rPr>
        <w:footnoteRef/>
      </w:r>
      <w:r>
        <w:t xml:space="preserve"> DPH při nákupu vzdělávacích aktivit je způsobilá pouze za specifických podmínek:</w:t>
      </w:r>
    </w:p>
    <w:p w14:paraId="1CC9B760" w14:textId="081B7FC2" w:rsidR="00015EF8" w:rsidRDefault="00015EF8" w:rsidP="004C43EE">
      <w:pPr>
        <w:pStyle w:val="Poznmka"/>
        <w:rPr>
          <w:sz w:val="24"/>
          <w:szCs w:val="24"/>
          <w:highlight w:val="yellow"/>
        </w:rPr>
      </w:pPr>
      <w:r>
        <w:t>DPH je obecně nezpůsobilá, s výjimkou případů, kdy je podle vnitrostátních předpisů neodpočitatelná a zároveň nemůže dojít k jejímu navrácení jinou formou. DPH je tak způsobilá pouze pro Příjemce, kteří si nemohou nárokovat odpočet DPH na vstupu, a to při splnění dalších podmínek stanovených EK. (Viz Pokyny k podmínkám způsobilosti DPH podle pravidel politiky soudržnosti v programovém období 2014-2020, vydané Evropskou komisí dne 30. 10. 2018.)</w:t>
      </w:r>
    </w:p>
    <w:p w14:paraId="09D06E70" w14:textId="7A353CAD" w:rsidR="00015EF8" w:rsidRDefault="00015EF8" w:rsidP="004C43EE">
      <w:pPr>
        <w:pStyle w:val="Poznmka"/>
      </w:pPr>
      <w:r>
        <w:t xml:space="preserve">Mezi základní principy pro posuzování způsobilosti DPH patří: DPH, která je návratná jakýmkoli způsobem, i když není přímo navrácena Příjemci, je nezpůsobilá. Jde například o případy, kdy infrastrukturu, která byla </w:t>
      </w:r>
      <w:r w:rsidRPr="00802192">
        <w:t>předmětem projektu, provozuje jiný subjekt než Příjemce, přičemž z této činnosti má příjmy zatížené DPH, které plynou z přímého využití projektu. U principu návratnosti</w:t>
      </w:r>
      <w:r>
        <w:t xml:space="preserve"> je irelevantní, jaká výše DPH byla navrácena, případně jestli byla vůbec navrácena. Stačí pouhá možnost návratnosti dle národní legislativy a daň bude považována za návratnou, tudíž nezpůsobilou. Daňový status subjektu nemůže být sám o sobě rozhodujícím faktorem pro posouzení, zdali je DPH návratná.</w:t>
      </w:r>
    </w:p>
  </w:footnote>
  <w:footnote w:id="26">
    <w:p w14:paraId="1C297B9C" w14:textId="77777777" w:rsidR="00015EF8" w:rsidRDefault="00015EF8" w:rsidP="004C43EE">
      <w:pPr>
        <w:pStyle w:val="Poznmka"/>
        <w:rPr>
          <w:vertAlign w:val="superscript"/>
        </w:rPr>
      </w:pPr>
      <w:r>
        <w:rPr>
          <w:vertAlign w:val="superscript"/>
        </w:rPr>
        <w:footnoteRef/>
      </w:r>
      <w:r>
        <w:t xml:space="preserve"> Aktuální Specifická pravidla jsou závazná ve verzi platné v den učinění příslušného úkonu souvisejícího s plněním účelu poskytnuté dotace, nebo v den porušení příslušného ustanovení plynoucího z právních předpisů či Specifických pravidel.</w:t>
      </w:r>
    </w:p>
  </w:footnote>
  <w:footnote w:id="27">
    <w:p w14:paraId="7E77C222" w14:textId="6914CE81" w:rsidR="00015EF8" w:rsidRPr="001B2E6C" w:rsidRDefault="00015EF8" w:rsidP="001B2E6C">
      <w:pPr>
        <w:pStyle w:val="Poznmka"/>
      </w:pPr>
      <w:r w:rsidRPr="001B2E6C">
        <w:rPr>
          <w:vertAlign w:val="superscript"/>
        </w:rPr>
        <w:footnoteRef/>
      </w:r>
      <w:r w:rsidRPr="001B2E6C">
        <w:t xml:space="preserve"> To platí zejména v případech bod</w:t>
      </w:r>
      <w:r>
        <w:t>ů</w:t>
      </w:r>
      <w:r w:rsidRPr="001B2E6C">
        <w:t xml:space="preserve"> 2) B,</w:t>
      </w:r>
      <w:r>
        <w:t xml:space="preserve"> a </w:t>
      </w:r>
      <w:r w:rsidRPr="001B2E6C">
        <w:t>C této kapitoly Metod</w:t>
      </w:r>
      <w:r>
        <w:t>ického pokynu</w:t>
      </w:r>
      <w:r w:rsidRPr="001B2E6C">
        <w:t>.</w:t>
      </w:r>
    </w:p>
  </w:footnote>
  <w:footnote w:id="28">
    <w:p w14:paraId="535F8C39" w14:textId="77777777" w:rsidR="00015EF8" w:rsidRDefault="00015EF8" w:rsidP="004C43EE">
      <w:pPr>
        <w:pStyle w:val="Poznmka"/>
        <w:rPr>
          <w:highlight w:val="yellow"/>
        </w:rPr>
      </w:pPr>
      <w:r>
        <w:rPr>
          <w:vertAlign w:val="superscript"/>
        </w:rPr>
        <w:footnoteRef/>
      </w:r>
      <w:r>
        <w:t xml:space="preserve"> Hrubá mzda je mzda před snížením o pojistné na všeobecné zdravotní pojištění a sociální zabezpečení, zálohové splátky daně z příjmů fyzických osob a další zákonné nebo se zaměstnancem dohodnuté srážky. Hrubá (nominální) mzda zahrnuje všechny pracovní příjmy, které byly v daném období zaměstnanci zúčtovány k výplatě.</w:t>
      </w:r>
      <w:r>
        <w:rPr>
          <w:highlight w:val="yellow"/>
        </w:rPr>
        <w:t xml:space="preserve"> </w:t>
      </w:r>
    </w:p>
  </w:footnote>
  <w:footnote w:id="29">
    <w:p w14:paraId="13933E4D" w14:textId="77777777" w:rsidR="00015EF8" w:rsidRDefault="00015EF8" w:rsidP="004C43EE">
      <w:pPr>
        <w:pStyle w:val="Poznmka"/>
      </w:pPr>
      <w:r>
        <w:rPr>
          <w:vertAlign w:val="superscript"/>
        </w:rPr>
        <w:footnoteRef/>
      </w:r>
      <w:r>
        <w:rPr>
          <w:vertAlign w:val="superscript"/>
        </w:rPr>
        <w:t xml:space="preserve"> </w:t>
      </w:r>
      <w:r>
        <w:t xml:space="preserve">Např. pojistné podle vyhlášky MF č. 125/1993, kterou se stanoví podmínky a sazby zákonného pojištění odpovědnosti zaměstnavatele za škodu při pracovním úrazu nebo nemoci z povolání. </w:t>
      </w:r>
    </w:p>
  </w:footnote>
  <w:footnote w:id="30">
    <w:p w14:paraId="12C9D06A" w14:textId="77777777" w:rsidR="00015EF8" w:rsidRDefault="00015EF8" w:rsidP="004C43EE">
      <w:pPr>
        <w:pStyle w:val="Poznmka"/>
        <w:rPr>
          <w:vertAlign w:val="superscript"/>
        </w:rPr>
      </w:pPr>
      <w:r>
        <w:rPr>
          <w:vertAlign w:val="superscript"/>
        </w:rPr>
        <w:footnoteRef/>
      </w:r>
      <w:r>
        <w:rPr>
          <w:vertAlign w:val="superscript"/>
        </w:rPr>
        <w:t xml:space="preserve"> </w:t>
      </w:r>
      <w:r>
        <w:t xml:space="preserve">Pravidelnou odměnou se rozumí odměna poskytnutá za standardní výsledky práce. </w:t>
      </w:r>
    </w:p>
  </w:footnote>
  <w:footnote w:id="31">
    <w:p w14:paraId="634D2E13" w14:textId="00B94FD9" w:rsidR="00015EF8" w:rsidRPr="00B0657C" w:rsidRDefault="00015EF8" w:rsidP="004C43EE">
      <w:pPr>
        <w:pStyle w:val="Poznmka"/>
      </w:pPr>
      <w:r>
        <w:rPr>
          <w:vertAlign w:val="superscript"/>
        </w:rPr>
        <w:footnoteRef/>
      </w:r>
      <w:r>
        <w:rPr>
          <w:rFonts w:ascii="Calibri" w:eastAsia="Calibri" w:hAnsi="Calibri" w:cs="Calibri"/>
        </w:rPr>
        <w:t xml:space="preserve"> </w:t>
      </w:r>
      <w:r w:rsidRPr="00B0657C">
        <w:t>Limit 150</w:t>
      </w:r>
      <w:r>
        <w:t>,-</w:t>
      </w:r>
      <w:r w:rsidRPr="00B0657C">
        <w:t xml:space="preserve"> Kč na osobu a den (stejně jako v případě samostatného nákupu občerstvení) musí být dodržen.</w:t>
      </w:r>
    </w:p>
  </w:footnote>
  <w:footnote w:id="32">
    <w:p w14:paraId="22ED7841" w14:textId="77777777" w:rsidR="00015EF8" w:rsidRDefault="00015EF8" w:rsidP="004C43EE">
      <w:pPr>
        <w:pStyle w:val="Poznmka"/>
      </w:pPr>
      <w:r>
        <w:rPr>
          <w:vertAlign w:val="superscript"/>
        </w:rPr>
        <w:footnoteRef/>
      </w:r>
      <w:r>
        <w:t xml:space="preserve"> Čísla podkapitol vychází z 10. vydání Specifických pravidel.</w:t>
      </w:r>
    </w:p>
  </w:footnote>
  <w:footnote w:id="33">
    <w:p w14:paraId="0B2B17EE" w14:textId="77777777" w:rsidR="00015EF8" w:rsidRDefault="00015EF8" w:rsidP="004C43EE">
      <w:pPr>
        <w:pStyle w:val="Poznmka"/>
      </w:pPr>
      <w:r>
        <w:rPr>
          <w:vertAlign w:val="superscript"/>
        </w:rPr>
        <w:footnoteRef/>
      </w:r>
      <w:r>
        <w:t xml:space="preserve"> </w:t>
      </w:r>
      <w:r w:rsidRPr="005A65BA">
        <w:t>Kategorie zahrnuje náklady na materiál a režijní náklady: např. náklady na spotřební a kancelářský materiál, nákup paliv.</w:t>
      </w:r>
    </w:p>
  </w:footnote>
  <w:footnote w:id="34">
    <w:p w14:paraId="0F41AF6D" w14:textId="79BDE294" w:rsidR="00015EF8" w:rsidRPr="004C43EE" w:rsidRDefault="00015EF8" w:rsidP="004C43EE">
      <w:pPr>
        <w:pStyle w:val="Poznmka"/>
      </w:pPr>
      <w:r w:rsidRPr="00BC5C4B">
        <w:rPr>
          <w:vertAlign w:val="superscript"/>
        </w:rPr>
        <w:footnoteRef/>
      </w:r>
      <w:r w:rsidRPr="004C43EE">
        <w:t xml:space="preserve"> V některých případech jsou dostačující pouze ověřené kopie</w:t>
      </w:r>
      <w:r>
        <w:t xml:space="preserve"> nebo pouze kopie</w:t>
      </w:r>
      <w:r w:rsidRPr="004C43EE">
        <w:t xml:space="preserve">, tato informace je dále výslovně u jednotlivých druhů podkladů uvedena. </w:t>
      </w:r>
    </w:p>
  </w:footnote>
  <w:footnote w:id="35">
    <w:p w14:paraId="4C196932" w14:textId="77777777" w:rsidR="00015EF8" w:rsidRDefault="00015EF8" w:rsidP="004C43EE">
      <w:pPr>
        <w:pStyle w:val="Poznmka"/>
      </w:pPr>
      <w:r>
        <w:rPr>
          <w:vertAlign w:val="superscript"/>
        </w:rPr>
        <w:footnoteRef/>
      </w:r>
      <w:r>
        <w:t xml:space="preserve"> Ve Vyúčtování musí být uveden stejný nebo nižší počet hodin než ve Výkazu účasti. Např. ve Výkazu účasti může být uvedeno 9 hodin, ale ve Vyúčtování pouze 8 hodin za den, a to proto, že maximální počet způsobilých hodin za den je stanoven jako 8.</w:t>
      </w:r>
    </w:p>
  </w:footnote>
  <w:footnote w:id="36">
    <w:p w14:paraId="05E58E8A" w14:textId="1D5B24EE" w:rsidR="00015EF8" w:rsidRDefault="00015EF8" w:rsidP="004C43EE">
      <w:pPr>
        <w:pStyle w:val="Poznmka"/>
        <w:rPr>
          <w:vertAlign w:val="superscript"/>
        </w:rPr>
      </w:pPr>
      <w:r>
        <w:rPr>
          <w:vertAlign w:val="superscript"/>
        </w:rPr>
        <w:footnoteRef/>
      </w:r>
      <w:r>
        <w:t xml:space="preserve"> Tj. v místě sídla Příjemce, ale také např. na pracovišti účastníka, případně v místě realizace kurzů nebo praxí. </w:t>
      </w:r>
    </w:p>
  </w:footnote>
  <w:footnote w:id="37">
    <w:p w14:paraId="081C65DC" w14:textId="26E0D9DD" w:rsidR="00015EF8" w:rsidRDefault="00015EF8" w:rsidP="006A2886">
      <w:pPr>
        <w:pStyle w:val="Poznmka"/>
        <w:rPr>
          <w:vertAlign w:val="superscript"/>
        </w:rPr>
      </w:pPr>
      <w:r>
        <w:rPr>
          <w:vertAlign w:val="superscript"/>
        </w:rPr>
        <w:footnoteRef/>
      </w:r>
      <w:r>
        <w:rPr>
          <w:vertAlign w:val="superscript"/>
        </w:rPr>
        <w:t xml:space="preserve"> </w:t>
      </w:r>
      <w:r>
        <w:t xml:space="preserve">Plakát uvedený v příloze Metodiky č. 12 již vychází z elektronické šablony, která je k dispozici na portálu </w:t>
      </w:r>
      <w:r>
        <w:rPr>
          <w:color w:val="0070C0"/>
        </w:rPr>
        <w:t>www.esfcr.cz</w:t>
      </w:r>
      <w:r>
        <w:t>.</w:t>
      </w:r>
    </w:p>
  </w:footnote>
  <w:footnote w:id="38">
    <w:p w14:paraId="79693A12" w14:textId="259FF60A" w:rsidR="00015EF8" w:rsidRDefault="00015EF8" w:rsidP="001844C2">
      <w:pPr>
        <w:pStyle w:val="Poznmka"/>
      </w:pPr>
      <w:r>
        <w:rPr>
          <w:vertAlign w:val="superscript"/>
        </w:rPr>
        <w:footnoteRef/>
      </w:r>
      <w:r>
        <w:rPr>
          <w:vertAlign w:val="superscript"/>
        </w:rPr>
        <w:t xml:space="preserve"> </w:t>
      </w:r>
      <w:r>
        <w:t xml:space="preserve">Vizuální identita OPZ nemusí být použita na certifikátech, interních dokumentech, smlouvách či účetních dokladech. </w:t>
      </w:r>
    </w:p>
  </w:footnote>
  <w:footnote w:id="39">
    <w:p w14:paraId="54E5C411" w14:textId="77777777" w:rsidR="00015EF8" w:rsidRDefault="00015EF8" w:rsidP="004C43EE">
      <w:pPr>
        <w:pStyle w:val="Poznmka"/>
        <w:rPr>
          <w:vertAlign w:val="superscript"/>
        </w:rPr>
      </w:pPr>
      <w:r>
        <w:rPr>
          <w:vertAlign w:val="superscript"/>
        </w:rPr>
        <w:footnoteRef/>
      </w:r>
      <w:r>
        <w:rPr>
          <w:vertAlign w:val="superscript"/>
        </w:rPr>
        <w:t xml:space="preserve"> </w:t>
      </w:r>
      <w:r>
        <w:t>Označení se nevztahuje na prostory, ve kterých probíhá odborná praxe.</w:t>
      </w:r>
    </w:p>
  </w:footnote>
  <w:footnote w:id="40">
    <w:p w14:paraId="0D9FA003" w14:textId="77777777" w:rsidR="00015EF8" w:rsidRDefault="00015EF8" w:rsidP="001844C2">
      <w:pPr>
        <w:pStyle w:val="Poznmka"/>
        <w:rPr>
          <w:vertAlign w:val="superscript"/>
        </w:rPr>
      </w:pPr>
      <w:r>
        <w:rPr>
          <w:vertAlign w:val="superscript"/>
        </w:rPr>
        <w:footnoteRef/>
      </w:r>
      <w:r>
        <w:rPr>
          <w:vertAlign w:val="superscript"/>
        </w:rPr>
        <w:t xml:space="preserve"> </w:t>
      </w:r>
      <w:r>
        <w:t xml:space="preserve">Znak EU existuje ve dvou variantách – barevné a černobílé. Na </w:t>
      </w:r>
      <w:r w:rsidRPr="001844C2">
        <w:t>internetových stránkách a na povinných plakátech je třeba zobrazovat a používat jeho barevné provedení (není tedy možné pro prezentační účely vytisknout na černobílé tiskárně barevné zobrazení znaku EU). Pořízení černobílé kopie barevného originálu pro interní pracovní potřebu se za nedodržení pravidel publicity nepovažuje.</w:t>
      </w:r>
    </w:p>
  </w:footnote>
  <w:footnote w:id="41">
    <w:p w14:paraId="2B5BF57C" w14:textId="77777777" w:rsidR="00015EF8" w:rsidRDefault="00015EF8" w:rsidP="00845DB5">
      <w:pPr>
        <w:pStyle w:val="Poznmka"/>
        <w:rPr>
          <w:rFonts w:ascii="Times New Roman" w:eastAsia="Times New Roman" w:hAnsi="Times New Roman" w:cs="Times New Roman"/>
          <w:sz w:val="24"/>
          <w:szCs w:val="24"/>
        </w:rPr>
      </w:pPr>
      <w:r>
        <w:rPr>
          <w:vertAlign w:val="superscript"/>
        </w:rPr>
        <w:footnoteRef/>
      </w:r>
      <w:r>
        <w:t xml:space="preserve"> Za </w:t>
      </w:r>
      <w:r w:rsidRPr="00845DB5">
        <w:t>předpokladu</w:t>
      </w:r>
      <w:r>
        <w:t xml:space="preserve">, že jsou ze strany MZ tyto změny odsouhlaseny, pokud to je relevantní. </w:t>
      </w:r>
    </w:p>
  </w:footnote>
  <w:footnote w:id="42">
    <w:p w14:paraId="01E5634D" w14:textId="77777777" w:rsidR="00015EF8" w:rsidRDefault="00015EF8" w:rsidP="00845DB5">
      <w:pPr>
        <w:pStyle w:val="Poznmka"/>
        <w:rPr>
          <w:rFonts w:ascii="Times New Roman" w:eastAsia="Times New Roman" w:hAnsi="Times New Roman" w:cs="Times New Roman"/>
          <w:sz w:val="24"/>
          <w:szCs w:val="24"/>
        </w:rPr>
      </w:pPr>
      <w:r>
        <w:rPr>
          <w:vertAlign w:val="superscript"/>
        </w:rPr>
        <w:footnoteRef/>
      </w:r>
      <w:r>
        <w:t xml:space="preserve"> Avšak stále musí být změny ze strany MZ odsouhlaseny, pokud to je relevantní.</w:t>
      </w:r>
      <w:r>
        <w:rPr>
          <w:rFonts w:ascii="Times New Roman" w:eastAsia="Times New Roman" w:hAnsi="Times New Roman" w:cs="Times New Roman"/>
          <w:sz w:val="24"/>
          <w:szCs w:val="24"/>
        </w:rPr>
        <w:t xml:space="preserve"> </w:t>
      </w:r>
    </w:p>
  </w:footnote>
  <w:footnote w:id="43">
    <w:p w14:paraId="581F3EDD" w14:textId="77777777" w:rsidR="00015EF8" w:rsidRDefault="00015EF8" w:rsidP="00845DB5">
      <w:pPr>
        <w:pStyle w:val="Poznmka"/>
      </w:pPr>
      <w:r>
        <w:rPr>
          <w:vertAlign w:val="superscript"/>
        </w:rPr>
        <w:footnoteRef/>
      </w:r>
      <w:r>
        <w:t xml:space="preserve"> Nejzazší lhůta je případně uvedena u jednotlivých změn.</w:t>
      </w:r>
    </w:p>
  </w:footnote>
  <w:footnote w:id="44">
    <w:p w14:paraId="735D7A3B" w14:textId="2DB5448F" w:rsidR="00015EF8" w:rsidRDefault="00015EF8" w:rsidP="00184708">
      <w:pPr>
        <w:widowControl/>
        <w:spacing w:after="120" w:line="240" w:lineRule="auto"/>
        <w:jc w:val="both"/>
        <w:rPr>
          <w:rFonts w:eastAsia="Calibri"/>
          <w:sz w:val="24"/>
          <w:szCs w:val="24"/>
        </w:rPr>
      </w:pPr>
      <w:r>
        <w:rPr>
          <w:rStyle w:val="Znakapoznpodarou"/>
        </w:rPr>
        <w:footnoteRef/>
      </w:r>
      <w:r>
        <w:t xml:space="preserve"> </w:t>
      </w:r>
      <w:r w:rsidRPr="00184708">
        <w:rPr>
          <w:sz w:val="20"/>
          <w:szCs w:val="20"/>
        </w:rPr>
        <w:t>Viz kapitola 3.3 bod 1 tohoto Metodického pokynu.</w:t>
      </w:r>
      <w:r w:rsidRPr="00DD51CE">
        <w:rPr>
          <w:rFonts w:eastAsia="Calibri"/>
          <w:sz w:val="24"/>
          <w:szCs w:val="24"/>
        </w:rPr>
        <w:t xml:space="preserve"> </w:t>
      </w:r>
    </w:p>
    <w:p w14:paraId="7B08A76B" w14:textId="64272B35" w:rsidR="00015EF8" w:rsidRPr="00184708" w:rsidRDefault="00015EF8">
      <w:pPr>
        <w:pStyle w:val="Textpoznpodarou"/>
        <w:rPr>
          <w:lang w:val="cs-CZ"/>
        </w:rPr>
      </w:pPr>
    </w:p>
  </w:footnote>
  <w:footnote w:id="45">
    <w:p w14:paraId="76DB5B2D" w14:textId="6FE6D6CA" w:rsidR="00015EF8" w:rsidRPr="00003339" w:rsidRDefault="00015EF8">
      <w:pPr>
        <w:pStyle w:val="Textpoznpodarou"/>
        <w:rPr>
          <w:lang w:val="cs-CZ"/>
        </w:rPr>
      </w:pPr>
      <w:r>
        <w:rPr>
          <w:rStyle w:val="Znakapoznpodarou"/>
        </w:rPr>
        <w:footnoteRef/>
      </w:r>
      <w:r>
        <w:t xml:space="preserve"> Změna IVP je možná pouze pokud se nezvýší celková částka dotace.</w:t>
      </w:r>
    </w:p>
  </w:footnote>
  <w:footnote w:id="46">
    <w:p w14:paraId="41BB7F7A" w14:textId="57F84667" w:rsidR="00015EF8" w:rsidRDefault="00015EF8" w:rsidP="004C43EE">
      <w:pPr>
        <w:pStyle w:val="Poznmka"/>
      </w:pPr>
      <w:r>
        <w:rPr>
          <w:vertAlign w:val="superscript"/>
        </w:rPr>
        <w:footnoteRef/>
      </w:r>
      <w:r>
        <w:t xml:space="preserve"> Jedná se ve většině případů o změny, které nemůže Příjemce ovlivnit nebo o změny, které nesouvisí s účastí na klíčových aktivitách.</w:t>
      </w:r>
    </w:p>
  </w:footnote>
  <w:footnote w:id="47">
    <w:p w14:paraId="511637F9" w14:textId="58F1D33F" w:rsidR="00015EF8" w:rsidRDefault="00015EF8" w:rsidP="004C43EE">
      <w:pPr>
        <w:pStyle w:val="Poznmka"/>
      </w:pPr>
      <w:r>
        <w:rPr>
          <w:vertAlign w:val="superscript"/>
        </w:rPr>
        <w:footnoteRef/>
      </w:r>
      <w:r>
        <w:t xml:space="preserve"> Tato situace může nastat např. v případě svátků, nemoci, </w:t>
      </w:r>
      <w:r w:rsidRPr="00CA0249">
        <w:t xml:space="preserve">dovolené – </w:t>
      </w:r>
      <w:r>
        <w:t>V</w:t>
      </w:r>
      <w:r w:rsidRPr="00CA0249">
        <w:t>zdělávací</w:t>
      </w:r>
      <w:r>
        <w:t xml:space="preserve"> pracoviště může zapsat účast na praxi do průkazu odbornosti / logbooku jako celý měsíc, ale ve skutečnosti mohla být účast na praxi pouze např. 18 dní, dojde tak z hlediska rozpočtu k ušetření finančních prostředků za dva dny. </w:t>
      </w:r>
    </w:p>
  </w:footnote>
  <w:footnote w:id="48">
    <w:p w14:paraId="5C6E1E54" w14:textId="77777777" w:rsidR="00015EF8" w:rsidRDefault="00015EF8" w:rsidP="004C43EE">
      <w:pPr>
        <w:pStyle w:val="Poznmka"/>
      </w:pPr>
      <w:r>
        <w:rPr>
          <w:vertAlign w:val="superscript"/>
        </w:rPr>
        <w:footnoteRef/>
      </w:r>
      <w:r>
        <w:t xml:space="preserve"> Změna může být zohledněna až při vydávání změnového Rozhodnutí vyvolaného další změnou.</w:t>
      </w:r>
    </w:p>
  </w:footnote>
  <w:footnote w:id="49">
    <w:p w14:paraId="79178B2E" w14:textId="5D6289F2" w:rsidR="00015EF8" w:rsidRPr="005D226C" w:rsidRDefault="00015EF8">
      <w:pPr>
        <w:pStyle w:val="Textpoznpodarou"/>
        <w:rPr>
          <w:lang w:val="cs-CZ"/>
        </w:rPr>
      </w:pPr>
      <w:r>
        <w:rPr>
          <w:rStyle w:val="Znakapoznpodarou"/>
        </w:rPr>
        <w:footnoteRef/>
      </w:r>
      <w:r>
        <w:t xml:space="preserve"> dtto</w:t>
      </w:r>
    </w:p>
  </w:footnote>
  <w:footnote w:id="50">
    <w:p w14:paraId="7F0A56FE" w14:textId="6020F0DE" w:rsidR="00015EF8" w:rsidRPr="005D226C" w:rsidRDefault="00015EF8">
      <w:pPr>
        <w:pStyle w:val="Textpoznpodarou"/>
        <w:rPr>
          <w:lang w:val="cs-CZ"/>
        </w:rPr>
      </w:pPr>
      <w:r>
        <w:rPr>
          <w:rStyle w:val="Znakapoznpodarou"/>
        </w:rPr>
        <w:footnoteRef/>
      </w:r>
      <w:r>
        <w:t xml:space="preserve"> dtto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D8B0" w14:textId="19F55269" w:rsidR="00015EF8" w:rsidRDefault="00015EF8">
    <w:pPr>
      <w:widowControl/>
      <w:spacing w:line="240" w:lineRule="auto"/>
      <w:jc w:val="both"/>
      <w:rPr>
        <w:rFonts w:ascii="Calibri" w:eastAsia="Calibri" w:hAnsi="Calibri" w:cs="Calibri"/>
      </w:rPr>
    </w:pPr>
  </w:p>
  <w:p w14:paraId="3948B573" w14:textId="58972FEE" w:rsidR="00015EF8" w:rsidRDefault="005E3E52">
    <w:pPr>
      <w:spacing w:after="200"/>
      <w:ind w:left="720"/>
      <w:rPr>
        <w:rFonts w:ascii="Cambria" w:eastAsia="Cambria" w:hAnsi="Cambria" w:cs="Cambria"/>
      </w:rPr>
    </w:pPr>
    <w:r>
      <w:rPr>
        <w:noProof/>
      </w:rPr>
      <w:drawing>
        <wp:anchor distT="0" distB="0" distL="114300" distR="114300" simplePos="0" relativeHeight="251659264" behindDoc="0" locked="0" layoutInCell="1" allowOverlap="1" wp14:anchorId="36EBE8B1" wp14:editId="2E8481A3">
          <wp:simplePos x="0" y="0"/>
          <wp:positionH relativeFrom="margin">
            <wp:align>left</wp:align>
          </wp:positionH>
          <wp:positionV relativeFrom="paragraph">
            <wp:posOffset>133985</wp:posOffset>
          </wp:positionV>
          <wp:extent cx="1619250" cy="333375"/>
          <wp:effectExtent l="0" t="0" r="0" b="9525"/>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19250" cy="333375"/>
                  </a:xfrm>
                  <a:prstGeom prst="rect">
                    <a:avLst/>
                  </a:prstGeom>
                  <a:ln/>
                </pic:spPr>
              </pic:pic>
            </a:graphicData>
          </a:graphic>
        </wp:anchor>
      </w:drawing>
    </w:r>
    <w:r w:rsidR="00EC286A">
      <w:rPr>
        <w:rFonts w:ascii="Cambria" w:eastAsia="Cambria" w:hAnsi="Cambria" w:cs="Cambria"/>
        <w:noProof/>
      </w:rPr>
      <w:drawing>
        <wp:anchor distT="0" distB="0" distL="114300" distR="114300" simplePos="0" relativeHeight="251660288" behindDoc="0" locked="0" layoutInCell="1" allowOverlap="1" wp14:anchorId="1D9B9A52" wp14:editId="6E7FAA55">
          <wp:simplePos x="0" y="0"/>
          <wp:positionH relativeFrom="margin">
            <wp:posOffset>3455035</wp:posOffset>
          </wp:positionH>
          <wp:positionV relativeFrom="paragraph">
            <wp:posOffset>10160</wp:posOffset>
          </wp:positionV>
          <wp:extent cx="2432685" cy="499745"/>
          <wp:effectExtent l="0" t="0" r="571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685" cy="499745"/>
                  </a:xfrm>
                  <a:prstGeom prst="rect">
                    <a:avLst/>
                  </a:prstGeom>
                  <a:noFill/>
                </pic:spPr>
              </pic:pic>
            </a:graphicData>
          </a:graphic>
        </wp:anchor>
      </w:drawing>
    </w:r>
  </w:p>
  <w:p w14:paraId="3565D621" w14:textId="4AC7D860" w:rsidR="00015EF8" w:rsidRDefault="00015EF8" w:rsidP="00EC286A">
    <w:pPr>
      <w:widowControl/>
      <w:pBdr>
        <w:top w:val="nil"/>
        <w:left w:val="nil"/>
        <w:bottom w:val="nil"/>
        <w:right w:val="nil"/>
        <w:between w:val="nil"/>
      </w:pBdr>
      <w:spacing w:line="240" w:lineRule="auto"/>
      <w:jc w:val="both"/>
      <w:rPr>
        <w:rFonts w:ascii="Calibri" w:eastAsia="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B1A1" w14:textId="77777777" w:rsidR="00015EF8" w:rsidRDefault="00015EF8">
    <w:pPr>
      <w:pStyle w:val="Zhlav"/>
    </w:pPr>
  </w:p>
  <w:p w14:paraId="21106F7E" w14:textId="54548CD5" w:rsidR="00015EF8" w:rsidRDefault="00EC286A">
    <w:pPr>
      <w:pStyle w:val="Zhlav"/>
    </w:pPr>
    <w:r>
      <w:rPr>
        <w:noProof/>
      </w:rPr>
      <w:drawing>
        <wp:anchor distT="0" distB="0" distL="114300" distR="114300" simplePos="0" relativeHeight="251658240" behindDoc="1" locked="0" layoutInCell="1" allowOverlap="1" wp14:anchorId="5E970887" wp14:editId="416748A2">
          <wp:simplePos x="0" y="0"/>
          <wp:positionH relativeFrom="margin">
            <wp:posOffset>3416935</wp:posOffset>
          </wp:positionH>
          <wp:positionV relativeFrom="paragraph">
            <wp:posOffset>77470</wp:posOffset>
          </wp:positionV>
          <wp:extent cx="2428875" cy="504825"/>
          <wp:effectExtent l="0" t="0" r="9525" b="9525"/>
          <wp:wrapSquare wrapText="bothSides"/>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28875" cy="504825"/>
                  </a:xfrm>
                  <a:prstGeom prst="rect">
                    <a:avLst/>
                  </a:prstGeom>
                  <a:ln/>
                </pic:spPr>
              </pic:pic>
            </a:graphicData>
          </a:graphic>
        </wp:anchor>
      </w:drawing>
    </w:r>
  </w:p>
  <w:p w14:paraId="0E91EDF2" w14:textId="79F8AEBD" w:rsidR="00015EF8" w:rsidRDefault="00015EF8">
    <w:pPr>
      <w:pStyle w:val="Zhlav"/>
    </w:pPr>
    <w:r>
      <w:rPr>
        <w:noProof/>
      </w:rPr>
      <w:drawing>
        <wp:anchor distT="0" distB="0" distL="114300" distR="114300" simplePos="0" relativeHeight="251661312" behindDoc="0" locked="0" layoutInCell="1" allowOverlap="1" wp14:anchorId="7D43700E" wp14:editId="474902EC">
          <wp:simplePos x="0" y="0"/>
          <wp:positionH relativeFrom="margin">
            <wp:align>left</wp:align>
          </wp:positionH>
          <wp:positionV relativeFrom="paragraph">
            <wp:posOffset>12065</wp:posOffset>
          </wp:positionV>
          <wp:extent cx="1619250" cy="333375"/>
          <wp:effectExtent l="0" t="0" r="0" b="9525"/>
          <wp:wrapSquare wrapText="bothSides"/>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619250" cy="333375"/>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2EF"/>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44379A"/>
    <w:multiLevelType w:val="multilevel"/>
    <w:tmpl w:val="BE8443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BC038B"/>
    <w:multiLevelType w:val="hybridMultilevel"/>
    <w:tmpl w:val="2B1E84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B3780"/>
    <w:multiLevelType w:val="multilevel"/>
    <w:tmpl w:val="E22646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1E02B8"/>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7E44BE"/>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603ED"/>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FA5EF6"/>
    <w:multiLevelType w:val="multilevel"/>
    <w:tmpl w:val="B9C0B1E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E8295A"/>
    <w:multiLevelType w:val="multilevel"/>
    <w:tmpl w:val="17522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0160B"/>
    <w:multiLevelType w:val="hybridMultilevel"/>
    <w:tmpl w:val="EBF82FDA"/>
    <w:lvl w:ilvl="0" w:tplc="0405000F">
      <w:start w:val="1"/>
      <w:numFmt w:val="decimal"/>
      <w:lvlText w:val="%1."/>
      <w:lvlJc w:val="left"/>
      <w:pPr>
        <w:ind w:left="720" w:hanging="360"/>
      </w:pPr>
    </w:lvl>
    <w:lvl w:ilvl="1" w:tplc="4E5C8444">
      <w:start w:val="1"/>
      <w:numFmt w:val="upperLetter"/>
      <w:lvlText w:val="%2."/>
      <w:lvlJc w:val="left"/>
      <w:pPr>
        <w:ind w:left="1440" w:hanging="360"/>
      </w:pPr>
      <w:rPr>
        <w:rFonts w:eastAsia="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94735"/>
    <w:multiLevelType w:val="multilevel"/>
    <w:tmpl w:val="E8A49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37E3136"/>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8135FE4"/>
    <w:multiLevelType w:val="hybridMultilevel"/>
    <w:tmpl w:val="EB6E5FF2"/>
    <w:lvl w:ilvl="0" w:tplc="5116343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6648A7"/>
    <w:multiLevelType w:val="multilevel"/>
    <w:tmpl w:val="DFA678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C6A7CC9"/>
    <w:multiLevelType w:val="multilevel"/>
    <w:tmpl w:val="F886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6770259"/>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72A4BB9"/>
    <w:multiLevelType w:val="multilevel"/>
    <w:tmpl w:val="9F1A45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766517A"/>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300DC9"/>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6E529D"/>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0D2A39"/>
    <w:multiLevelType w:val="multilevel"/>
    <w:tmpl w:val="EDDA5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BD00CA"/>
    <w:multiLevelType w:val="multilevel"/>
    <w:tmpl w:val="FDFEB4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2" w15:restartNumberingAfterBreak="0">
    <w:nsid w:val="54517344"/>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62C2466"/>
    <w:multiLevelType w:val="multilevel"/>
    <w:tmpl w:val="351E3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9821CF4"/>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8A3624"/>
    <w:multiLevelType w:val="multilevel"/>
    <w:tmpl w:val="5D98EF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D00248D"/>
    <w:multiLevelType w:val="multilevel"/>
    <w:tmpl w:val="FB3CC7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D292BE1"/>
    <w:multiLevelType w:val="multilevel"/>
    <w:tmpl w:val="301AB6E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FE818CB"/>
    <w:multiLevelType w:val="multilevel"/>
    <w:tmpl w:val="A0EC1C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1BC403C"/>
    <w:multiLevelType w:val="hybridMultilevel"/>
    <w:tmpl w:val="E10AEA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6580D0F"/>
    <w:multiLevelType w:val="multilevel"/>
    <w:tmpl w:val="3B56C74E"/>
    <w:lvl w:ilvl="0">
      <w:start w:val="27"/>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1" w15:restartNumberingAfterBreak="0">
    <w:nsid w:val="78A46BC9"/>
    <w:multiLevelType w:val="multilevel"/>
    <w:tmpl w:val="76A869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2E282E"/>
    <w:multiLevelType w:val="multilevel"/>
    <w:tmpl w:val="42A2D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9AF0A5C"/>
    <w:multiLevelType w:val="hybridMultilevel"/>
    <w:tmpl w:val="46AC9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D46309"/>
    <w:multiLevelType w:val="hybridMultilevel"/>
    <w:tmpl w:val="AE28A5FA"/>
    <w:lvl w:ilvl="0" w:tplc="D8668402">
      <w:start w:val="2"/>
      <w:numFmt w:val="decimal"/>
      <w:lvlText w:val="%1"/>
      <w:lvlJc w:val="left"/>
      <w:pPr>
        <w:ind w:left="720" w:hanging="360"/>
      </w:pPr>
      <w:rPr>
        <w:rFonts w:eastAsia="Times New Roman" w:hint="default"/>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2B2419"/>
    <w:multiLevelType w:val="multilevel"/>
    <w:tmpl w:val="FE22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4442B0"/>
    <w:multiLevelType w:val="multilevel"/>
    <w:tmpl w:val="49CC89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13"/>
  </w:num>
  <w:num w:numId="3">
    <w:abstractNumId w:val="26"/>
  </w:num>
  <w:num w:numId="4">
    <w:abstractNumId w:val="20"/>
  </w:num>
  <w:num w:numId="5">
    <w:abstractNumId w:val="35"/>
  </w:num>
  <w:num w:numId="6">
    <w:abstractNumId w:val="32"/>
  </w:num>
  <w:num w:numId="7">
    <w:abstractNumId w:val="8"/>
  </w:num>
  <w:num w:numId="8">
    <w:abstractNumId w:val="28"/>
  </w:num>
  <w:num w:numId="9">
    <w:abstractNumId w:val="30"/>
  </w:num>
  <w:num w:numId="10">
    <w:abstractNumId w:val="14"/>
  </w:num>
  <w:num w:numId="11">
    <w:abstractNumId w:val="16"/>
  </w:num>
  <w:num w:numId="12">
    <w:abstractNumId w:val="31"/>
  </w:num>
  <w:num w:numId="13">
    <w:abstractNumId w:val="25"/>
  </w:num>
  <w:num w:numId="14">
    <w:abstractNumId w:val="21"/>
  </w:num>
  <w:num w:numId="15">
    <w:abstractNumId w:val="7"/>
  </w:num>
  <w:num w:numId="16">
    <w:abstractNumId w:val="10"/>
  </w:num>
  <w:num w:numId="17">
    <w:abstractNumId w:val="3"/>
  </w:num>
  <w:num w:numId="18">
    <w:abstractNumId w:val="23"/>
  </w:num>
  <w:num w:numId="19">
    <w:abstractNumId w:val="19"/>
  </w:num>
  <w:num w:numId="20">
    <w:abstractNumId w:val="36"/>
  </w:num>
  <w:num w:numId="21">
    <w:abstractNumId w:val="12"/>
  </w:num>
  <w:num w:numId="22">
    <w:abstractNumId w:val="34"/>
  </w:num>
  <w:num w:numId="23">
    <w:abstractNumId w:val="29"/>
  </w:num>
  <w:num w:numId="24">
    <w:abstractNumId w:val="2"/>
  </w:num>
  <w:num w:numId="25">
    <w:abstractNumId w:val="6"/>
  </w:num>
  <w:num w:numId="26">
    <w:abstractNumId w:val="15"/>
  </w:num>
  <w:num w:numId="27">
    <w:abstractNumId w:val="24"/>
  </w:num>
  <w:num w:numId="28">
    <w:abstractNumId w:val="22"/>
  </w:num>
  <w:num w:numId="29">
    <w:abstractNumId w:val="18"/>
  </w:num>
  <w:num w:numId="30">
    <w:abstractNumId w:val="0"/>
  </w:num>
  <w:num w:numId="31">
    <w:abstractNumId w:val="11"/>
  </w:num>
  <w:num w:numId="32">
    <w:abstractNumId w:val="17"/>
  </w:num>
  <w:num w:numId="33">
    <w:abstractNumId w:val="27"/>
  </w:num>
  <w:num w:numId="34">
    <w:abstractNumId w:val="4"/>
  </w:num>
  <w:num w:numId="35">
    <w:abstractNumId w:val="9"/>
  </w:num>
  <w:num w:numId="36">
    <w:abstractNumId w:val="5"/>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D9"/>
    <w:rsid w:val="000011F5"/>
    <w:rsid w:val="00003339"/>
    <w:rsid w:val="00015EF8"/>
    <w:rsid w:val="000545AE"/>
    <w:rsid w:val="00054919"/>
    <w:rsid w:val="00077BD5"/>
    <w:rsid w:val="00081DA1"/>
    <w:rsid w:val="00083B09"/>
    <w:rsid w:val="000A0BD8"/>
    <w:rsid w:val="000A7C3E"/>
    <w:rsid w:val="000B0277"/>
    <w:rsid w:val="000D1006"/>
    <w:rsid w:val="000D34EC"/>
    <w:rsid w:val="000D65D2"/>
    <w:rsid w:val="000E2997"/>
    <w:rsid w:val="0010149C"/>
    <w:rsid w:val="00110DBA"/>
    <w:rsid w:val="00112ABE"/>
    <w:rsid w:val="00115032"/>
    <w:rsid w:val="001175E5"/>
    <w:rsid w:val="00126CA2"/>
    <w:rsid w:val="00162F84"/>
    <w:rsid w:val="00171E05"/>
    <w:rsid w:val="001766A7"/>
    <w:rsid w:val="0018191C"/>
    <w:rsid w:val="001844C2"/>
    <w:rsid w:val="00184708"/>
    <w:rsid w:val="001918D6"/>
    <w:rsid w:val="001920E5"/>
    <w:rsid w:val="001A0D8B"/>
    <w:rsid w:val="001A795B"/>
    <w:rsid w:val="001B2E6C"/>
    <w:rsid w:val="001C3F25"/>
    <w:rsid w:val="001E6A30"/>
    <w:rsid w:val="00202D38"/>
    <w:rsid w:val="00203782"/>
    <w:rsid w:val="00211959"/>
    <w:rsid w:val="00213C92"/>
    <w:rsid w:val="002264C3"/>
    <w:rsid w:val="00241DC9"/>
    <w:rsid w:val="0024751A"/>
    <w:rsid w:val="00255523"/>
    <w:rsid w:val="0027623F"/>
    <w:rsid w:val="002913F2"/>
    <w:rsid w:val="00297886"/>
    <w:rsid w:val="002A0918"/>
    <w:rsid w:val="002B5F9D"/>
    <w:rsid w:val="002C7DFC"/>
    <w:rsid w:val="002F180D"/>
    <w:rsid w:val="002F4119"/>
    <w:rsid w:val="00310587"/>
    <w:rsid w:val="00314F85"/>
    <w:rsid w:val="00336883"/>
    <w:rsid w:val="003458D3"/>
    <w:rsid w:val="003464EC"/>
    <w:rsid w:val="003642BC"/>
    <w:rsid w:val="003800DC"/>
    <w:rsid w:val="003950CD"/>
    <w:rsid w:val="003A49DF"/>
    <w:rsid w:val="003A552B"/>
    <w:rsid w:val="003C26CC"/>
    <w:rsid w:val="003D6AD5"/>
    <w:rsid w:val="003F342A"/>
    <w:rsid w:val="003F7924"/>
    <w:rsid w:val="004016C0"/>
    <w:rsid w:val="00402FBE"/>
    <w:rsid w:val="00405AED"/>
    <w:rsid w:val="0041553A"/>
    <w:rsid w:val="004255D9"/>
    <w:rsid w:val="004863E4"/>
    <w:rsid w:val="00495D07"/>
    <w:rsid w:val="00496A52"/>
    <w:rsid w:val="004A3E96"/>
    <w:rsid w:val="004B1895"/>
    <w:rsid w:val="004B5367"/>
    <w:rsid w:val="004B608E"/>
    <w:rsid w:val="004B7DA6"/>
    <w:rsid w:val="004C43EE"/>
    <w:rsid w:val="004D2CA8"/>
    <w:rsid w:val="004E5787"/>
    <w:rsid w:val="00531C6C"/>
    <w:rsid w:val="00535A03"/>
    <w:rsid w:val="00543084"/>
    <w:rsid w:val="00547A9F"/>
    <w:rsid w:val="00574191"/>
    <w:rsid w:val="0058097D"/>
    <w:rsid w:val="00581D09"/>
    <w:rsid w:val="00595E72"/>
    <w:rsid w:val="005A524F"/>
    <w:rsid w:val="005A65BA"/>
    <w:rsid w:val="005B607E"/>
    <w:rsid w:val="005B6406"/>
    <w:rsid w:val="005C0A8D"/>
    <w:rsid w:val="005C3931"/>
    <w:rsid w:val="005D226C"/>
    <w:rsid w:val="005D5A41"/>
    <w:rsid w:val="005D7817"/>
    <w:rsid w:val="005E1555"/>
    <w:rsid w:val="005E2E62"/>
    <w:rsid w:val="005E3463"/>
    <w:rsid w:val="005E3E52"/>
    <w:rsid w:val="005E4FF6"/>
    <w:rsid w:val="00600A36"/>
    <w:rsid w:val="006469B6"/>
    <w:rsid w:val="00647C36"/>
    <w:rsid w:val="00657942"/>
    <w:rsid w:val="00665699"/>
    <w:rsid w:val="00667856"/>
    <w:rsid w:val="006733FC"/>
    <w:rsid w:val="00681323"/>
    <w:rsid w:val="006820EE"/>
    <w:rsid w:val="00684CE3"/>
    <w:rsid w:val="006A2886"/>
    <w:rsid w:val="006A2A34"/>
    <w:rsid w:val="006A699D"/>
    <w:rsid w:val="006A7B18"/>
    <w:rsid w:val="006B719F"/>
    <w:rsid w:val="006D0317"/>
    <w:rsid w:val="006E1C74"/>
    <w:rsid w:val="006E34EB"/>
    <w:rsid w:val="006F3A94"/>
    <w:rsid w:val="00727D43"/>
    <w:rsid w:val="0076320A"/>
    <w:rsid w:val="00793A45"/>
    <w:rsid w:val="007D39D1"/>
    <w:rsid w:val="007D75BF"/>
    <w:rsid w:val="00801307"/>
    <w:rsid w:val="00802192"/>
    <w:rsid w:val="00825577"/>
    <w:rsid w:val="00845DB5"/>
    <w:rsid w:val="00847B21"/>
    <w:rsid w:val="00871BFA"/>
    <w:rsid w:val="00874945"/>
    <w:rsid w:val="00876EC9"/>
    <w:rsid w:val="008802C1"/>
    <w:rsid w:val="008875D2"/>
    <w:rsid w:val="008D4B0E"/>
    <w:rsid w:val="0091619D"/>
    <w:rsid w:val="0094066D"/>
    <w:rsid w:val="00943CF0"/>
    <w:rsid w:val="009518FA"/>
    <w:rsid w:val="00951941"/>
    <w:rsid w:val="009550D9"/>
    <w:rsid w:val="00956A02"/>
    <w:rsid w:val="00960383"/>
    <w:rsid w:val="009638C5"/>
    <w:rsid w:val="00970F0C"/>
    <w:rsid w:val="00975BA7"/>
    <w:rsid w:val="00976E30"/>
    <w:rsid w:val="0098107C"/>
    <w:rsid w:val="00983B27"/>
    <w:rsid w:val="00991121"/>
    <w:rsid w:val="009A6E09"/>
    <w:rsid w:val="009B2FD4"/>
    <w:rsid w:val="009C2C0C"/>
    <w:rsid w:val="009C5B26"/>
    <w:rsid w:val="009D0732"/>
    <w:rsid w:val="009D26B6"/>
    <w:rsid w:val="009D6E51"/>
    <w:rsid w:val="009E5B61"/>
    <w:rsid w:val="009E5F40"/>
    <w:rsid w:val="009F000E"/>
    <w:rsid w:val="00A04539"/>
    <w:rsid w:val="00A2668B"/>
    <w:rsid w:val="00A46F04"/>
    <w:rsid w:val="00A519B4"/>
    <w:rsid w:val="00A54F1E"/>
    <w:rsid w:val="00A563F7"/>
    <w:rsid w:val="00A67045"/>
    <w:rsid w:val="00AB7017"/>
    <w:rsid w:val="00AB784E"/>
    <w:rsid w:val="00AC6598"/>
    <w:rsid w:val="00AD6F02"/>
    <w:rsid w:val="00AE732A"/>
    <w:rsid w:val="00B00AED"/>
    <w:rsid w:val="00B0657C"/>
    <w:rsid w:val="00B12B16"/>
    <w:rsid w:val="00B67A4B"/>
    <w:rsid w:val="00B67E73"/>
    <w:rsid w:val="00B8448E"/>
    <w:rsid w:val="00B930FE"/>
    <w:rsid w:val="00BB0938"/>
    <w:rsid w:val="00BB174D"/>
    <w:rsid w:val="00BC0257"/>
    <w:rsid w:val="00BC3063"/>
    <w:rsid w:val="00BC5C4B"/>
    <w:rsid w:val="00BD2D48"/>
    <w:rsid w:val="00BD691E"/>
    <w:rsid w:val="00BF434B"/>
    <w:rsid w:val="00C01FDB"/>
    <w:rsid w:val="00C10266"/>
    <w:rsid w:val="00C1471C"/>
    <w:rsid w:val="00C21AD0"/>
    <w:rsid w:val="00C22360"/>
    <w:rsid w:val="00C245D3"/>
    <w:rsid w:val="00C24DC1"/>
    <w:rsid w:val="00C272AE"/>
    <w:rsid w:val="00C33D36"/>
    <w:rsid w:val="00C53F1B"/>
    <w:rsid w:val="00C641CD"/>
    <w:rsid w:val="00C754C3"/>
    <w:rsid w:val="00C84322"/>
    <w:rsid w:val="00C849A2"/>
    <w:rsid w:val="00C91BF5"/>
    <w:rsid w:val="00C97833"/>
    <w:rsid w:val="00CA0249"/>
    <w:rsid w:val="00CA0CDB"/>
    <w:rsid w:val="00CA5759"/>
    <w:rsid w:val="00CB2DD8"/>
    <w:rsid w:val="00CB4716"/>
    <w:rsid w:val="00CB56B9"/>
    <w:rsid w:val="00CC7AA0"/>
    <w:rsid w:val="00CD7EF7"/>
    <w:rsid w:val="00CE1CE5"/>
    <w:rsid w:val="00CE42AD"/>
    <w:rsid w:val="00CE457B"/>
    <w:rsid w:val="00D01AA0"/>
    <w:rsid w:val="00D05CF7"/>
    <w:rsid w:val="00D06082"/>
    <w:rsid w:val="00D21900"/>
    <w:rsid w:val="00D23E66"/>
    <w:rsid w:val="00D31396"/>
    <w:rsid w:val="00D36BB3"/>
    <w:rsid w:val="00D4431A"/>
    <w:rsid w:val="00D45075"/>
    <w:rsid w:val="00D545BA"/>
    <w:rsid w:val="00D86377"/>
    <w:rsid w:val="00D87FC2"/>
    <w:rsid w:val="00D93001"/>
    <w:rsid w:val="00DA03BD"/>
    <w:rsid w:val="00DB3375"/>
    <w:rsid w:val="00DC493F"/>
    <w:rsid w:val="00DD0686"/>
    <w:rsid w:val="00DD51CE"/>
    <w:rsid w:val="00DD77DB"/>
    <w:rsid w:val="00DE349B"/>
    <w:rsid w:val="00DE45DF"/>
    <w:rsid w:val="00E1034A"/>
    <w:rsid w:val="00E11D8B"/>
    <w:rsid w:val="00E15F2D"/>
    <w:rsid w:val="00E237F6"/>
    <w:rsid w:val="00E26B00"/>
    <w:rsid w:val="00E27C7B"/>
    <w:rsid w:val="00E31F5E"/>
    <w:rsid w:val="00E361D1"/>
    <w:rsid w:val="00E532B7"/>
    <w:rsid w:val="00E6389A"/>
    <w:rsid w:val="00E6591D"/>
    <w:rsid w:val="00E707D1"/>
    <w:rsid w:val="00E8453E"/>
    <w:rsid w:val="00E85EA8"/>
    <w:rsid w:val="00E972F3"/>
    <w:rsid w:val="00EA2570"/>
    <w:rsid w:val="00EA6CDC"/>
    <w:rsid w:val="00EB481E"/>
    <w:rsid w:val="00EC286A"/>
    <w:rsid w:val="00EC6CC5"/>
    <w:rsid w:val="00ED26C3"/>
    <w:rsid w:val="00EF37BC"/>
    <w:rsid w:val="00EF5379"/>
    <w:rsid w:val="00F00D11"/>
    <w:rsid w:val="00F02B5C"/>
    <w:rsid w:val="00F04592"/>
    <w:rsid w:val="00F06F2F"/>
    <w:rsid w:val="00F10EF6"/>
    <w:rsid w:val="00F22238"/>
    <w:rsid w:val="00F30755"/>
    <w:rsid w:val="00F30811"/>
    <w:rsid w:val="00F442D2"/>
    <w:rsid w:val="00F5373F"/>
    <w:rsid w:val="00F708CC"/>
    <w:rsid w:val="00F72D2F"/>
    <w:rsid w:val="00F77106"/>
    <w:rsid w:val="00FA1EAC"/>
    <w:rsid w:val="00FA2633"/>
    <w:rsid w:val="00FA2688"/>
    <w:rsid w:val="00FA2DF8"/>
    <w:rsid w:val="00FA6BB7"/>
    <w:rsid w:val="00FB10DB"/>
    <w:rsid w:val="00FB1531"/>
    <w:rsid w:val="00FB4296"/>
    <w:rsid w:val="00FB77DD"/>
    <w:rsid w:val="00FC1C3C"/>
    <w:rsid w:val="00FD7943"/>
    <w:rsid w:val="00FD7FAA"/>
    <w:rsid w:val="00FE6F8F"/>
    <w:rsid w:val="00FF2EC9"/>
    <w:rsid w:val="00FF4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D570AA"/>
  <w15:docId w15:val="{12C51602-60BE-45E0-9CDF-3F9F442D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Nadpis2">
    <w:name w:val="heading 2"/>
    <w:basedOn w:val="Normln"/>
    <w:next w:val="Normln"/>
    <w:uiPriority w:val="9"/>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Nadpis3">
    <w:name w:val="heading 3"/>
    <w:basedOn w:val="Normln"/>
    <w:next w:val="Normln"/>
    <w:uiPriority w:val="9"/>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Nadpis4">
    <w:name w:val="heading 4"/>
    <w:basedOn w:val="Normln"/>
    <w:next w:val="Normln"/>
    <w:uiPriority w:val="9"/>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Nadpis5">
    <w:name w:val="heading 5"/>
    <w:basedOn w:val="Normln"/>
    <w:next w:val="Normln"/>
    <w:uiPriority w:val="9"/>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Nadpis6">
    <w:name w:val="heading 6"/>
    <w:basedOn w:val="Normln"/>
    <w:next w:val="Normln"/>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Podnadpis">
    <w:name w:val="Subtitle"/>
    <w:basedOn w:val="Normln"/>
    <w:next w:val="Normln"/>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7"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unhideWhenUsed/>
    <w:qFormat/>
    <w:rPr>
      <w:sz w:val="16"/>
      <w:szCs w:val="16"/>
    </w:rPr>
  </w:style>
  <w:style w:type="paragraph" w:styleId="Textbubliny">
    <w:name w:val="Balloon Text"/>
    <w:basedOn w:val="Normln"/>
    <w:link w:val="TextbublinyChar"/>
    <w:uiPriority w:val="99"/>
    <w:semiHidden/>
    <w:unhideWhenUsed/>
    <w:rsid w:val="006733F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33FC"/>
    <w:rPr>
      <w:rFonts w:ascii="Segoe UI" w:hAnsi="Segoe UI" w:cs="Segoe UI"/>
      <w:sz w:val="18"/>
      <w:szCs w:val="18"/>
    </w:rPr>
  </w:style>
  <w:style w:type="paragraph" w:styleId="Zhlav">
    <w:name w:val="header"/>
    <w:basedOn w:val="Normln"/>
    <w:link w:val="ZhlavChar"/>
    <w:uiPriority w:val="99"/>
    <w:unhideWhenUsed/>
    <w:rsid w:val="006733FC"/>
    <w:pPr>
      <w:tabs>
        <w:tab w:val="center" w:pos="4536"/>
        <w:tab w:val="right" w:pos="9072"/>
      </w:tabs>
      <w:spacing w:line="240" w:lineRule="auto"/>
    </w:pPr>
  </w:style>
  <w:style w:type="character" w:customStyle="1" w:styleId="ZhlavChar">
    <w:name w:val="Záhlaví Char"/>
    <w:basedOn w:val="Standardnpsmoodstavce"/>
    <w:link w:val="Zhlav"/>
    <w:uiPriority w:val="99"/>
    <w:rsid w:val="006733FC"/>
  </w:style>
  <w:style w:type="paragraph" w:styleId="Zpat">
    <w:name w:val="footer"/>
    <w:basedOn w:val="Normln"/>
    <w:link w:val="ZpatChar"/>
    <w:uiPriority w:val="99"/>
    <w:unhideWhenUsed/>
    <w:rsid w:val="006733FC"/>
    <w:pPr>
      <w:tabs>
        <w:tab w:val="center" w:pos="4536"/>
        <w:tab w:val="right" w:pos="9072"/>
      </w:tabs>
      <w:spacing w:line="240" w:lineRule="auto"/>
    </w:pPr>
  </w:style>
  <w:style w:type="character" w:customStyle="1" w:styleId="ZpatChar">
    <w:name w:val="Zápatí Char"/>
    <w:basedOn w:val="Standardnpsmoodstavce"/>
    <w:link w:val="Zpat"/>
    <w:uiPriority w:val="99"/>
    <w:rsid w:val="006733FC"/>
  </w:style>
  <w:style w:type="paragraph" w:styleId="Obsah1">
    <w:name w:val="toc 1"/>
    <w:basedOn w:val="Normln"/>
    <w:next w:val="Normln"/>
    <w:autoRedefine/>
    <w:uiPriority w:val="39"/>
    <w:unhideWhenUsed/>
    <w:rsid w:val="006733FC"/>
    <w:pPr>
      <w:spacing w:after="100"/>
    </w:pPr>
  </w:style>
  <w:style w:type="paragraph" w:styleId="Obsah2">
    <w:name w:val="toc 2"/>
    <w:basedOn w:val="Normln"/>
    <w:next w:val="Normln"/>
    <w:autoRedefine/>
    <w:uiPriority w:val="39"/>
    <w:unhideWhenUsed/>
    <w:rsid w:val="006733FC"/>
    <w:pPr>
      <w:spacing w:after="100"/>
      <w:ind w:left="220"/>
    </w:pPr>
  </w:style>
  <w:style w:type="paragraph" w:styleId="Obsah3">
    <w:name w:val="toc 3"/>
    <w:basedOn w:val="Normln"/>
    <w:next w:val="Normln"/>
    <w:autoRedefine/>
    <w:uiPriority w:val="39"/>
    <w:unhideWhenUsed/>
    <w:rsid w:val="006733FC"/>
    <w:pPr>
      <w:spacing w:after="100"/>
      <w:ind w:left="440"/>
    </w:pPr>
  </w:style>
  <w:style w:type="paragraph" w:styleId="Obsah4">
    <w:name w:val="toc 4"/>
    <w:basedOn w:val="Normln"/>
    <w:next w:val="Normln"/>
    <w:autoRedefine/>
    <w:uiPriority w:val="39"/>
    <w:unhideWhenUsed/>
    <w:rsid w:val="006733FC"/>
    <w:pPr>
      <w:spacing w:after="100"/>
      <w:ind w:left="660"/>
    </w:pPr>
  </w:style>
  <w:style w:type="paragraph" w:styleId="Obsah5">
    <w:name w:val="toc 5"/>
    <w:basedOn w:val="Normln"/>
    <w:next w:val="Normln"/>
    <w:autoRedefine/>
    <w:uiPriority w:val="39"/>
    <w:unhideWhenUsed/>
    <w:rsid w:val="006733FC"/>
    <w:pPr>
      <w:spacing w:after="100"/>
      <w:ind w:left="880"/>
    </w:pPr>
  </w:style>
  <w:style w:type="character" w:styleId="Hypertextovodkaz">
    <w:name w:val="Hyperlink"/>
    <w:basedOn w:val="Standardnpsmoodstavce"/>
    <w:uiPriority w:val="99"/>
    <w:unhideWhenUsed/>
    <w:rsid w:val="006733FC"/>
    <w:rPr>
      <w:color w:val="0000FF" w:themeColor="hyperlink"/>
      <w:u w:val="single"/>
    </w:rPr>
  </w:style>
  <w:style w:type="paragraph" w:styleId="Textpoznpodarou">
    <w:name w:val="footnote text"/>
    <w:basedOn w:val="Normln"/>
    <w:link w:val="TextpoznpodarouChar"/>
    <w:uiPriority w:val="99"/>
    <w:semiHidden/>
    <w:unhideWhenUsed/>
    <w:rsid w:val="001918D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1918D6"/>
    <w:rPr>
      <w:sz w:val="20"/>
      <w:szCs w:val="20"/>
    </w:rPr>
  </w:style>
  <w:style w:type="character" w:styleId="Znakapoznpodarou">
    <w:name w:val="footnote reference"/>
    <w:basedOn w:val="Standardnpsmoodstavce"/>
    <w:uiPriority w:val="99"/>
    <w:semiHidden/>
    <w:unhideWhenUsed/>
    <w:rsid w:val="001918D6"/>
    <w:rPr>
      <w:vertAlign w:val="superscript"/>
    </w:rPr>
  </w:style>
  <w:style w:type="paragraph" w:styleId="Odstavecseseznamem">
    <w:name w:val="List Paragraph"/>
    <w:basedOn w:val="Normln"/>
    <w:uiPriority w:val="34"/>
    <w:qFormat/>
    <w:rsid w:val="003F342A"/>
    <w:pPr>
      <w:ind w:left="720"/>
      <w:contextualSpacing/>
    </w:pPr>
  </w:style>
  <w:style w:type="paragraph" w:styleId="Nadpisobsahu">
    <w:name w:val="TOC Heading"/>
    <w:basedOn w:val="Nadpis1"/>
    <w:next w:val="Normln"/>
    <w:uiPriority w:val="39"/>
    <w:unhideWhenUsed/>
    <w:qFormat/>
    <w:rsid w:val="00C97833"/>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Pedmtkomente">
    <w:name w:val="annotation subject"/>
    <w:basedOn w:val="Textkomente"/>
    <w:next w:val="Textkomente"/>
    <w:link w:val="PedmtkomenteChar"/>
    <w:uiPriority w:val="99"/>
    <w:semiHidden/>
    <w:unhideWhenUsed/>
    <w:rsid w:val="003458D3"/>
    <w:rPr>
      <w:b/>
      <w:bCs/>
    </w:rPr>
  </w:style>
  <w:style w:type="character" w:customStyle="1" w:styleId="PedmtkomenteChar">
    <w:name w:val="Předmět komentáře Char"/>
    <w:basedOn w:val="TextkomenteChar"/>
    <w:link w:val="Pedmtkomente"/>
    <w:uiPriority w:val="99"/>
    <w:semiHidden/>
    <w:rsid w:val="003458D3"/>
    <w:rPr>
      <w:b/>
      <w:bCs/>
      <w:sz w:val="20"/>
      <w:szCs w:val="20"/>
    </w:rPr>
  </w:style>
  <w:style w:type="paragraph" w:customStyle="1" w:styleId="Poznmka">
    <w:name w:val="Poznámka"/>
    <w:basedOn w:val="Normln"/>
    <w:link w:val="PoznmkaChar"/>
    <w:qFormat/>
    <w:rsid w:val="00E27C7B"/>
    <w:pPr>
      <w:spacing w:line="240" w:lineRule="auto"/>
      <w:jc w:val="both"/>
    </w:pPr>
    <w:rPr>
      <w:sz w:val="20"/>
      <w:szCs w:val="20"/>
    </w:rPr>
  </w:style>
  <w:style w:type="character" w:styleId="Nevyeenzmnka">
    <w:name w:val="Unresolved Mention"/>
    <w:basedOn w:val="Standardnpsmoodstavce"/>
    <w:uiPriority w:val="99"/>
    <w:semiHidden/>
    <w:unhideWhenUsed/>
    <w:rsid w:val="001844C2"/>
    <w:rPr>
      <w:color w:val="605E5C"/>
      <w:shd w:val="clear" w:color="auto" w:fill="E1DFDD"/>
    </w:rPr>
  </w:style>
  <w:style w:type="character" w:customStyle="1" w:styleId="PoznmkaChar">
    <w:name w:val="Poznámka Char"/>
    <w:basedOn w:val="Standardnpsmoodstavce"/>
    <w:link w:val="Poznmka"/>
    <w:rsid w:val="00E27C7B"/>
    <w:rPr>
      <w:sz w:val="20"/>
      <w:szCs w:val="20"/>
    </w:rPr>
  </w:style>
  <w:style w:type="paragraph" w:customStyle="1" w:styleId="Normln1">
    <w:name w:val="Normální1"/>
    <w:rsid w:val="00015EF8"/>
    <w:pPr>
      <w:widowControl/>
      <w:spacing w:after="200"/>
    </w:pPr>
    <w:rPr>
      <w:rFonts w:ascii="Cambria" w:eastAsia="Cambria" w:hAnsi="Cambria" w:cs="Cambri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2502">
      <w:bodyDiv w:val="1"/>
      <w:marLeft w:val="0"/>
      <w:marRight w:val="0"/>
      <w:marTop w:val="0"/>
      <w:marBottom w:val="0"/>
      <w:divBdr>
        <w:top w:val="none" w:sz="0" w:space="0" w:color="auto"/>
        <w:left w:val="none" w:sz="0" w:space="0" w:color="auto"/>
        <w:bottom w:val="none" w:sz="0" w:space="0" w:color="auto"/>
        <w:right w:val="none" w:sz="0" w:space="0" w:color="auto"/>
      </w:divBdr>
    </w:div>
    <w:div w:id="198928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urologove2@mzcr.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urologove2@mz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cr.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urologove2@mzcr.cz" TargetMode="External"/><Relationship Id="rId4" Type="http://schemas.openxmlformats.org/officeDocument/2006/relationships/settings" Target="settings.xml"/><Relationship Id="rId9" Type="http://schemas.openxmlformats.org/officeDocument/2006/relationships/hyperlink" Target="mailto:neurologove2@mz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25A1-14E0-4E26-A4C0-3062B837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7542</Words>
  <Characters>44502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Kvasnickova</dc:creator>
  <cp:lastModifiedBy>Koktánová Jana Mgr.</cp:lastModifiedBy>
  <cp:revision>8</cp:revision>
  <cp:lastPrinted>2020-02-12T15:09:00Z</cp:lastPrinted>
  <dcterms:created xsi:type="dcterms:W3CDTF">2020-08-25T07:29:00Z</dcterms:created>
  <dcterms:modified xsi:type="dcterms:W3CDTF">2020-08-26T09:47:00Z</dcterms:modified>
</cp:coreProperties>
</file>