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B9BFD" w14:textId="77777777" w:rsidR="00942744" w:rsidRDefault="00942744">
      <w:pPr>
        <w:pStyle w:val="Nzev"/>
        <w:spacing w:after="288" w:line="240" w:lineRule="auto"/>
        <w:contextualSpacing/>
        <w:jc w:val="center"/>
        <w:rPr>
          <w:rStyle w:val="Nzevknihy"/>
          <w:rFonts w:eastAsia="Arial"/>
          <w:caps w:val="0"/>
          <w:sz w:val="32"/>
          <w:szCs w:val="32"/>
        </w:rPr>
      </w:pPr>
    </w:p>
    <w:p w14:paraId="464BE51E" w14:textId="77777777" w:rsidR="00942744" w:rsidRDefault="007211E8">
      <w:pPr>
        <w:pStyle w:val="Nzev"/>
        <w:spacing w:after="288" w:line="240" w:lineRule="auto"/>
        <w:contextualSpacing/>
        <w:jc w:val="center"/>
        <w:rPr>
          <w:rStyle w:val="Nzevknihy"/>
          <w:rFonts w:eastAsia="Arial"/>
          <w:caps w:val="0"/>
          <w:sz w:val="28"/>
          <w:szCs w:val="28"/>
        </w:rPr>
      </w:pPr>
      <w:r>
        <w:rPr>
          <w:rStyle w:val="Nzevknihy"/>
          <w:rFonts w:eastAsia="Arial"/>
          <w:caps w:val="0"/>
          <w:sz w:val="28"/>
          <w:szCs w:val="28"/>
        </w:rPr>
        <w:t>Specializační vzdělávání v oboru dětská neurologie</w:t>
      </w:r>
    </w:p>
    <w:p w14:paraId="68A1902E" w14:textId="77777777" w:rsidR="00942744" w:rsidRDefault="00942744">
      <w:pPr>
        <w:pStyle w:val="Nzev"/>
        <w:spacing w:after="288" w:line="240" w:lineRule="auto"/>
        <w:contextualSpacing/>
        <w:jc w:val="center"/>
        <w:rPr>
          <w:rStyle w:val="Nzevknihy"/>
          <w:rFonts w:eastAsia="Arial"/>
        </w:rPr>
      </w:pPr>
    </w:p>
    <w:p w14:paraId="19251E36" w14:textId="77777777" w:rsidR="00942744" w:rsidRDefault="00942744">
      <w:pPr>
        <w:pStyle w:val="Nzev"/>
        <w:spacing w:after="288" w:line="240" w:lineRule="auto"/>
        <w:contextualSpacing/>
        <w:jc w:val="center"/>
        <w:rPr>
          <w:rStyle w:val="Nzevknihy"/>
          <w:rFonts w:eastAsia="Arial"/>
          <w:sz w:val="40"/>
          <w:szCs w:val="40"/>
        </w:rPr>
      </w:pPr>
    </w:p>
    <w:p w14:paraId="4004CDDE" w14:textId="77777777" w:rsidR="00942744" w:rsidRDefault="00942744">
      <w:pPr>
        <w:pStyle w:val="Nzev"/>
        <w:spacing w:after="288" w:line="240" w:lineRule="auto"/>
        <w:contextualSpacing/>
        <w:jc w:val="center"/>
        <w:rPr>
          <w:rStyle w:val="Nzevknihy"/>
          <w:rFonts w:eastAsia="Arial"/>
          <w:sz w:val="40"/>
          <w:szCs w:val="40"/>
        </w:rPr>
      </w:pPr>
    </w:p>
    <w:p w14:paraId="135A85BC" w14:textId="77777777" w:rsidR="00942744" w:rsidRDefault="00942744"/>
    <w:p w14:paraId="12C926BC" w14:textId="77777777" w:rsidR="00942744" w:rsidRDefault="007211E8">
      <w:pPr>
        <w:pStyle w:val="Nzev"/>
        <w:spacing w:after="288" w:line="240" w:lineRule="auto"/>
        <w:contextualSpacing/>
        <w:jc w:val="center"/>
        <w:rPr>
          <w:rStyle w:val="Nzevknihy"/>
          <w:rFonts w:eastAsia="Arial"/>
          <w:sz w:val="40"/>
          <w:szCs w:val="40"/>
        </w:rPr>
      </w:pPr>
      <w:r>
        <w:rPr>
          <w:rStyle w:val="Nzevknihy"/>
          <w:rFonts w:eastAsia="Arial"/>
          <w:sz w:val="40"/>
          <w:szCs w:val="40"/>
        </w:rPr>
        <w:t>Metodický pokyn</w:t>
      </w:r>
    </w:p>
    <w:p w14:paraId="49DFBEEE" w14:textId="77777777" w:rsidR="00942744" w:rsidRDefault="007211E8">
      <w:pPr>
        <w:pStyle w:val="Nzev"/>
        <w:spacing w:after="288" w:line="240" w:lineRule="auto"/>
        <w:contextualSpacing/>
        <w:jc w:val="center"/>
        <w:rPr>
          <w:rStyle w:val="Nzevknihy"/>
          <w:rFonts w:eastAsia="Arial"/>
          <w:sz w:val="40"/>
          <w:szCs w:val="40"/>
        </w:rPr>
      </w:pPr>
      <w:r>
        <w:rPr>
          <w:rStyle w:val="Nzevknihy"/>
          <w:rFonts w:eastAsia="Arial"/>
          <w:sz w:val="40"/>
          <w:szCs w:val="40"/>
        </w:rPr>
        <w:t>pro vzdělávací pracoviště</w:t>
      </w:r>
    </w:p>
    <w:p w14:paraId="27AC98FD" w14:textId="77777777" w:rsidR="00942744" w:rsidRDefault="00942744">
      <w:pPr>
        <w:rPr>
          <w:rFonts w:asciiTheme="minorHAnsi" w:hAnsiTheme="minorHAnsi"/>
        </w:rPr>
      </w:pPr>
    </w:p>
    <w:p w14:paraId="2375E44C" w14:textId="77777777" w:rsidR="00942744" w:rsidRDefault="007211E8">
      <w:pPr>
        <w:pStyle w:val="Nzev"/>
        <w:spacing w:after="288" w:line="240" w:lineRule="auto"/>
        <w:contextualSpacing/>
        <w:jc w:val="center"/>
        <w:rPr>
          <w:rStyle w:val="Nzevknihy"/>
          <w:rFonts w:eastAsia="Arial"/>
          <w:sz w:val="28"/>
          <w:szCs w:val="28"/>
        </w:rPr>
      </w:pPr>
      <w:r>
        <w:rPr>
          <w:rStyle w:val="Nzevknihy"/>
          <w:rFonts w:eastAsia="Arial"/>
          <w:sz w:val="28"/>
          <w:szCs w:val="28"/>
        </w:rPr>
        <w:t>(</w:t>
      </w:r>
      <w:r>
        <w:rPr>
          <w:rStyle w:val="Nzevknihy"/>
          <w:rFonts w:eastAsia="Arial"/>
          <w:caps w:val="0"/>
          <w:sz w:val="28"/>
          <w:szCs w:val="28"/>
        </w:rPr>
        <w:t>Realizace kurzů a praxí</w:t>
      </w:r>
      <w:r>
        <w:rPr>
          <w:rStyle w:val="Nzevknihy"/>
          <w:rFonts w:eastAsia="Arial"/>
          <w:sz w:val="28"/>
          <w:szCs w:val="28"/>
        </w:rPr>
        <w:t>)</w:t>
      </w:r>
    </w:p>
    <w:p w14:paraId="7CC40EE6" w14:textId="77777777" w:rsidR="00942744" w:rsidRDefault="007211E8">
      <w:pPr>
        <w:rPr>
          <w:rStyle w:val="Nzevknihy"/>
          <w:rFonts w:eastAsia="Arial"/>
          <w:sz w:val="28"/>
          <w:szCs w:val="28"/>
        </w:rPr>
      </w:pPr>
      <w:r>
        <w:br w:type="page"/>
      </w:r>
    </w:p>
    <w:p w14:paraId="087C7EDA" w14:textId="77777777" w:rsidR="00942744" w:rsidRDefault="00942744">
      <w:pPr>
        <w:pStyle w:val="Nzev"/>
        <w:spacing w:after="288" w:line="240" w:lineRule="auto"/>
        <w:contextualSpacing/>
        <w:jc w:val="center"/>
        <w:rPr>
          <w:rStyle w:val="Nzevknihy"/>
          <w:rFonts w:eastAsia="Arial"/>
          <w:caps w:val="0"/>
          <w:sz w:val="32"/>
          <w:szCs w:val="32"/>
        </w:rPr>
      </w:pPr>
    </w:p>
    <w:p w14:paraId="2B1B16E3" w14:textId="759591D5" w:rsidR="00942744" w:rsidRDefault="007211E8">
      <w:pPr>
        <w:pStyle w:val="Nzev"/>
        <w:spacing w:after="288" w:line="240" w:lineRule="auto"/>
        <w:contextualSpacing/>
        <w:rPr>
          <w:rStyle w:val="Nzevknihy"/>
          <w:rFonts w:eastAsia="Arial"/>
          <w:caps w:val="0"/>
          <w:sz w:val="32"/>
          <w:szCs w:val="32"/>
        </w:rPr>
      </w:pPr>
      <w:r>
        <w:rPr>
          <w:rStyle w:val="Nzevknihy"/>
          <w:rFonts w:eastAsia="Arial"/>
          <w:caps w:val="0"/>
          <w:sz w:val="32"/>
          <w:szCs w:val="32"/>
        </w:rPr>
        <w:t>Obsah</w:t>
      </w:r>
    </w:p>
    <w:p w14:paraId="060890CB" w14:textId="77777777" w:rsidR="007349A3" w:rsidRDefault="007349A3">
      <w:pPr>
        <w:pStyle w:val="Nzev"/>
        <w:spacing w:after="288" w:line="240" w:lineRule="auto"/>
        <w:contextualSpacing/>
        <w:rPr>
          <w:rStyle w:val="Nzevknihy"/>
          <w:rFonts w:eastAsia="Arial"/>
          <w:caps w:val="0"/>
          <w:sz w:val="32"/>
          <w:szCs w:val="32"/>
        </w:rPr>
      </w:pPr>
    </w:p>
    <w:p w14:paraId="764425EF" w14:textId="5ECD361A" w:rsidR="009160F6" w:rsidRDefault="007211E8">
      <w:pPr>
        <w:pStyle w:val="Obsah1"/>
        <w:rPr>
          <w:rFonts w:eastAsiaTheme="minorEastAsia" w:cstheme="minorBidi"/>
          <w:bCs w:val="0"/>
          <w:noProof/>
          <w:sz w:val="22"/>
          <w:szCs w:val="22"/>
          <w:lang w:val="cs-CZ"/>
        </w:rPr>
      </w:pPr>
      <w:r>
        <w:fldChar w:fldCharType="begin"/>
      </w:r>
      <w:r>
        <w:instrText>TOC \z \o "1-3" \u \h</w:instrText>
      </w:r>
      <w:r>
        <w:fldChar w:fldCharType="separate"/>
      </w:r>
      <w:hyperlink w:anchor="_Toc34659561" w:history="1">
        <w:r w:rsidR="009160F6" w:rsidRPr="001B5311">
          <w:rPr>
            <w:rStyle w:val="Hypertextovodkaz"/>
            <w:noProof/>
          </w:rPr>
          <w:t>I.</w:t>
        </w:r>
        <w:r w:rsidR="009160F6">
          <w:rPr>
            <w:rFonts w:eastAsiaTheme="minorEastAsia" w:cstheme="minorBidi"/>
            <w:bCs w:val="0"/>
            <w:noProof/>
            <w:sz w:val="22"/>
            <w:szCs w:val="22"/>
            <w:lang w:val="cs-CZ"/>
          </w:rPr>
          <w:tab/>
        </w:r>
        <w:r w:rsidR="009160F6" w:rsidRPr="001B5311">
          <w:rPr>
            <w:rStyle w:val="Hypertextovodkaz"/>
            <w:noProof/>
          </w:rPr>
          <w:t>Obecné informace</w:t>
        </w:r>
        <w:r w:rsidR="009160F6">
          <w:rPr>
            <w:noProof/>
            <w:webHidden/>
          </w:rPr>
          <w:tab/>
        </w:r>
        <w:r w:rsidR="009160F6">
          <w:rPr>
            <w:noProof/>
            <w:webHidden/>
          </w:rPr>
          <w:fldChar w:fldCharType="begin"/>
        </w:r>
        <w:r w:rsidR="009160F6">
          <w:rPr>
            <w:noProof/>
            <w:webHidden/>
          </w:rPr>
          <w:instrText xml:space="preserve"> PAGEREF _Toc34659561 \h </w:instrText>
        </w:r>
        <w:r w:rsidR="009160F6">
          <w:rPr>
            <w:noProof/>
            <w:webHidden/>
          </w:rPr>
        </w:r>
        <w:r w:rsidR="009160F6">
          <w:rPr>
            <w:noProof/>
            <w:webHidden/>
          </w:rPr>
          <w:fldChar w:fldCharType="separate"/>
        </w:r>
        <w:r w:rsidR="007349A3">
          <w:rPr>
            <w:noProof/>
            <w:webHidden/>
          </w:rPr>
          <w:t>5</w:t>
        </w:r>
        <w:r w:rsidR="009160F6">
          <w:rPr>
            <w:noProof/>
            <w:webHidden/>
          </w:rPr>
          <w:fldChar w:fldCharType="end"/>
        </w:r>
      </w:hyperlink>
    </w:p>
    <w:p w14:paraId="2F7026D4" w14:textId="29D1A52C" w:rsidR="009160F6" w:rsidRDefault="00110E3C">
      <w:pPr>
        <w:pStyle w:val="Obsah1"/>
        <w:rPr>
          <w:rFonts w:eastAsiaTheme="minorEastAsia" w:cstheme="minorBidi"/>
          <w:bCs w:val="0"/>
          <w:noProof/>
          <w:sz w:val="22"/>
          <w:szCs w:val="22"/>
          <w:lang w:val="cs-CZ"/>
        </w:rPr>
      </w:pPr>
      <w:hyperlink w:anchor="_Toc34659562" w:history="1">
        <w:r w:rsidR="009160F6" w:rsidRPr="001B5311">
          <w:rPr>
            <w:rStyle w:val="Hypertextovodkaz"/>
            <w:noProof/>
          </w:rPr>
          <w:t>A.</w:t>
        </w:r>
        <w:r w:rsidR="009160F6">
          <w:rPr>
            <w:rFonts w:eastAsiaTheme="minorEastAsia" w:cstheme="minorBidi"/>
            <w:bCs w:val="0"/>
            <w:noProof/>
            <w:sz w:val="22"/>
            <w:szCs w:val="22"/>
            <w:lang w:val="cs-CZ"/>
          </w:rPr>
          <w:tab/>
        </w:r>
        <w:r w:rsidR="009160F6" w:rsidRPr="001B5311">
          <w:rPr>
            <w:rStyle w:val="Hypertextovodkaz"/>
            <w:noProof/>
          </w:rPr>
          <w:t>Úvod</w:t>
        </w:r>
        <w:r w:rsidR="009160F6">
          <w:rPr>
            <w:noProof/>
            <w:webHidden/>
          </w:rPr>
          <w:tab/>
        </w:r>
        <w:r w:rsidR="009160F6">
          <w:rPr>
            <w:noProof/>
            <w:webHidden/>
          </w:rPr>
          <w:fldChar w:fldCharType="begin"/>
        </w:r>
        <w:r w:rsidR="009160F6">
          <w:rPr>
            <w:noProof/>
            <w:webHidden/>
          </w:rPr>
          <w:instrText xml:space="preserve"> PAGEREF _Toc34659562 \h </w:instrText>
        </w:r>
        <w:r w:rsidR="009160F6">
          <w:rPr>
            <w:noProof/>
            <w:webHidden/>
          </w:rPr>
        </w:r>
        <w:r w:rsidR="009160F6">
          <w:rPr>
            <w:noProof/>
            <w:webHidden/>
          </w:rPr>
          <w:fldChar w:fldCharType="separate"/>
        </w:r>
        <w:r w:rsidR="007349A3">
          <w:rPr>
            <w:noProof/>
            <w:webHidden/>
          </w:rPr>
          <w:t>5</w:t>
        </w:r>
        <w:r w:rsidR="009160F6">
          <w:rPr>
            <w:noProof/>
            <w:webHidden/>
          </w:rPr>
          <w:fldChar w:fldCharType="end"/>
        </w:r>
      </w:hyperlink>
    </w:p>
    <w:p w14:paraId="7C8E6728" w14:textId="08043D25" w:rsidR="009160F6" w:rsidRDefault="00110E3C">
      <w:pPr>
        <w:pStyle w:val="Obsah1"/>
        <w:rPr>
          <w:rFonts w:eastAsiaTheme="minorEastAsia" w:cstheme="minorBidi"/>
          <w:bCs w:val="0"/>
          <w:noProof/>
          <w:sz w:val="22"/>
          <w:szCs w:val="22"/>
          <w:lang w:val="cs-CZ"/>
        </w:rPr>
      </w:pPr>
      <w:hyperlink w:anchor="_Toc34659563" w:history="1">
        <w:r w:rsidR="009160F6" w:rsidRPr="001B5311">
          <w:rPr>
            <w:rStyle w:val="Hypertextovodkaz"/>
            <w:noProof/>
          </w:rPr>
          <w:t>B.</w:t>
        </w:r>
        <w:r w:rsidR="009160F6">
          <w:rPr>
            <w:rFonts w:eastAsiaTheme="minorEastAsia" w:cstheme="minorBidi"/>
            <w:bCs w:val="0"/>
            <w:noProof/>
            <w:sz w:val="22"/>
            <w:szCs w:val="22"/>
            <w:lang w:val="cs-CZ"/>
          </w:rPr>
          <w:tab/>
        </w:r>
        <w:r w:rsidR="009160F6" w:rsidRPr="001B5311">
          <w:rPr>
            <w:rStyle w:val="Hypertextovodkaz"/>
            <w:noProof/>
          </w:rPr>
          <w:t>Zapojení účastníků do klíčových aktivit</w:t>
        </w:r>
        <w:r w:rsidR="009160F6">
          <w:rPr>
            <w:noProof/>
            <w:webHidden/>
          </w:rPr>
          <w:tab/>
        </w:r>
        <w:r w:rsidR="009160F6">
          <w:rPr>
            <w:noProof/>
            <w:webHidden/>
          </w:rPr>
          <w:fldChar w:fldCharType="begin"/>
        </w:r>
        <w:r w:rsidR="009160F6">
          <w:rPr>
            <w:noProof/>
            <w:webHidden/>
          </w:rPr>
          <w:instrText xml:space="preserve"> PAGEREF _Toc34659563 \h </w:instrText>
        </w:r>
        <w:r w:rsidR="009160F6">
          <w:rPr>
            <w:noProof/>
            <w:webHidden/>
          </w:rPr>
        </w:r>
        <w:r w:rsidR="009160F6">
          <w:rPr>
            <w:noProof/>
            <w:webHidden/>
          </w:rPr>
          <w:fldChar w:fldCharType="separate"/>
        </w:r>
        <w:r w:rsidR="007349A3">
          <w:rPr>
            <w:noProof/>
            <w:webHidden/>
          </w:rPr>
          <w:t>7</w:t>
        </w:r>
        <w:r w:rsidR="009160F6">
          <w:rPr>
            <w:noProof/>
            <w:webHidden/>
          </w:rPr>
          <w:fldChar w:fldCharType="end"/>
        </w:r>
      </w:hyperlink>
    </w:p>
    <w:p w14:paraId="7E18690E" w14:textId="1586D25D" w:rsidR="009160F6" w:rsidRDefault="00110E3C">
      <w:pPr>
        <w:pStyle w:val="Obsah1"/>
        <w:rPr>
          <w:rFonts w:eastAsiaTheme="minorEastAsia" w:cstheme="minorBidi"/>
          <w:bCs w:val="0"/>
          <w:noProof/>
          <w:sz w:val="22"/>
          <w:szCs w:val="22"/>
          <w:lang w:val="cs-CZ"/>
        </w:rPr>
      </w:pPr>
      <w:hyperlink w:anchor="_Toc34659564" w:history="1">
        <w:r w:rsidR="009160F6" w:rsidRPr="001B5311">
          <w:rPr>
            <w:rStyle w:val="Hypertextovodkaz"/>
            <w:noProof/>
          </w:rPr>
          <w:t>II.</w:t>
        </w:r>
        <w:r w:rsidR="009160F6">
          <w:rPr>
            <w:rFonts w:eastAsiaTheme="minorEastAsia" w:cstheme="minorBidi"/>
            <w:bCs w:val="0"/>
            <w:noProof/>
            <w:sz w:val="22"/>
            <w:szCs w:val="22"/>
            <w:lang w:val="cs-CZ"/>
          </w:rPr>
          <w:tab/>
        </w:r>
        <w:r w:rsidR="009160F6" w:rsidRPr="001B5311">
          <w:rPr>
            <w:rStyle w:val="Hypertextovodkaz"/>
            <w:noProof/>
          </w:rPr>
          <w:t>Způsobilé výdaje</w:t>
        </w:r>
        <w:r w:rsidR="009160F6">
          <w:rPr>
            <w:noProof/>
            <w:webHidden/>
          </w:rPr>
          <w:tab/>
        </w:r>
        <w:r w:rsidR="009160F6">
          <w:rPr>
            <w:noProof/>
            <w:webHidden/>
          </w:rPr>
          <w:fldChar w:fldCharType="begin"/>
        </w:r>
        <w:r w:rsidR="009160F6">
          <w:rPr>
            <w:noProof/>
            <w:webHidden/>
          </w:rPr>
          <w:instrText xml:space="preserve"> PAGEREF _Toc34659564 \h </w:instrText>
        </w:r>
        <w:r w:rsidR="009160F6">
          <w:rPr>
            <w:noProof/>
            <w:webHidden/>
          </w:rPr>
        </w:r>
        <w:r w:rsidR="009160F6">
          <w:rPr>
            <w:noProof/>
            <w:webHidden/>
          </w:rPr>
          <w:fldChar w:fldCharType="separate"/>
        </w:r>
        <w:r w:rsidR="007349A3">
          <w:rPr>
            <w:noProof/>
            <w:webHidden/>
          </w:rPr>
          <w:t>9</w:t>
        </w:r>
        <w:r w:rsidR="009160F6">
          <w:rPr>
            <w:noProof/>
            <w:webHidden/>
          </w:rPr>
          <w:fldChar w:fldCharType="end"/>
        </w:r>
      </w:hyperlink>
    </w:p>
    <w:p w14:paraId="09834449" w14:textId="0941EDD4" w:rsidR="009160F6" w:rsidRDefault="00110E3C">
      <w:pPr>
        <w:pStyle w:val="Obsah1"/>
        <w:rPr>
          <w:rFonts w:eastAsiaTheme="minorEastAsia" w:cstheme="minorBidi"/>
          <w:bCs w:val="0"/>
          <w:noProof/>
          <w:sz w:val="22"/>
          <w:szCs w:val="22"/>
          <w:lang w:val="cs-CZ"/>
        </w:rPr>
      </w:pPr>
      <w:hyperlink w:anchor="_Toc34659565" w:history="1">
        <w:r w:rsidR="009160F6" w:rsidRPr="001B5311">
          <w:rPr>
            <w:rStyle w:val="Hypertextovodkaz"/>
            <w:noProof/>
          </w:rPr>
          <w:t>A.</w:t>
        </w:r>
        <w:r w:rsidR="009160F6">
          <w:rPr>
            <w:rFonts w:eastAsiaTheme="minorEastAsia" w:cstheme="minorBidi"/>
            <w:bCs w:val="0"/>
            <w:noProof/>
            <w:sz w:val="22"/>
            <w:szCs w:val="22"/>
            <w:lang w:val="cs-CZ"/>
          </w:rPr>
          <w:tab/>
        </w:r>
        <w:r w:rsidR="009160F6" w:rsidRPr="001B5311">
          <w:rPr>
            <w:rStyle w:val="Hypertextovodkaz"/>
            <w:noProof/>
          </w:rPr>
          <w:t>Způsobilé výdaje – obecné informace</w:t>
        </w:r>
        <w:r w:rsidR="009160F6">
          <w:rPr>
            <w:noProof/>
            <w:webHidden/>
          </w:rPr>
          <w:tab/>
        </w:r>
        <w:r w:rsidR="009160F6">
          <w:rPr>
            <w:noProof/>
            <w:webHidden/>
          </w:rPr>
          <w:fldChar w:fldCharType="begin"/>
        </w:r>
        <w:r w:rsidR="009160F6">
          <w:rPr>
            <w:noProof/>
            <w:webHidden/>
          </w:rPr>
          <w:instrText xml:space="preserve"> PAGEREF _Toc34659565 \h </w:instrText>
        </w:r>
        <w:r w:rsidR="009160F6">
          <w:rPr>
            <w:noProof/>
            <w:webHidden/>
          </w:rPr>
        </w:r>
        <w:r w:rsidR="009160F6">
          <w:rPr>
            <w:noProof/>
            <w:webHidden/>
          </w:rPr>
          <w:fldChar w:fldCharType="separate"/>
        </w:r>
        <w:r w:rsidR="007349A3">
          <w:rPr>
            <w:noProof/>
            <w:webHidden/>
          </w:rPr>
          <w:t>9</w:t>
        </w:r>
        <w:r w:rsidR="009160F6">
          <w:rPr>
            <w:noProof/>
            <w:webHidden/>
          </w:rPr>
          <w:fldChar w:fldCharType="end"/>
        </w:r>
      </w:hyperlink>
    </w:p>
    <w:p w14:paraId="0BDF6449" w14:textId="5A5D0337" w:rsidR="009160F6" w:rsidRDefault="00110E3C">
      <w:pPr>
        <w:pStyle w:val="Obsah1"/>
        <w:rPr>
          <w:rFonts w:eastAsiaTheme="minorEastAsia" w:cstheme="minorBidi"/>
          <w:bCs w:val="0"/>
          <w:noProof/>
          <w:sz w:val="22"/>
          <w:szCs w:val="22"/>
          <w:lang w:val="cs-CZ"/>
        </w:rPr>
      </w:pPr>
      <w:hyperlink w:anchor="_Toc34659566" w:history="1">
        <w:r w:rsidR="009160F6" w:rsidRPr="001B5311">
          <w:rPr>
            <w:rStyle w:val="Hypertextovodkaz"/>
            <w:noProof/>
          </w:rPr>
          <w:t>B.</w:t>
        </w:r>
        <w:r w:rsidR="009160F6">
          <w:rPr>
            <w:rFonts w:eastAsiaTheme="minorEastAsia" w:cstheme="minorBidi"/>
            <w:bCs w:val="0"/>
            <w:noProof/>
            <w:sz w:val="22"/>
            <w:szCs w:val="22"/>
            <w:lang w:val="cs-CZ"/>
          </w:rPr>
          <w:tab/>
        </w:r>
        <w:r w:rsidR="009160F6" w:rsidRPr="001B5311">
          <w:rPr>
            <w:rStyle w:val="Hypertextovodkaz"/>
            <w:noProof/>
          </w:rPr>
          <w:t>Způsobilé výdaje – vzdělávací aktivity</w:t>
        </w:r>
        <w:r w:rsidR="009160F6">
          <w:rPr>
            <w:noProof/>
            <w:webHidden/>
          </w:rPr>
          <w:tab/>
        </w:r>
        <w:r w:rsidR="009160F6">
          <w:rPr>
            <w:noProof/>
            <w:webHidden/>
          </w:rPr>
          <w:fldChar w:fldCharType="begin"/>
        </w:r>
        <w:r w:rsidR="009160F6">
          <w:rPr>
            <w:noProof/>
            <w:webHidden/>
          </w:rPr>
          <w:instrText xml:space="preserve"> PAGEREF _Toc34659566 \h </w:instrText>
        </w:r>
        <w:r w:rsidR="009160F6">
          <w:rPr>
            <w:noProof/>
            <w:webHidden/>
          </w:rPr>
        </w:r>
        <w:r w:rsidR="009160F6">
          <w:rPr>
            <w:noProof/>
            <w:webHidden/>
          </w:rPr>
          <w:fldChar w:fldCharType="separate"/>
        </w:r>
        <w:r w:rsidR="007349A3">
          <w:rPr>
            <w:noProof/>
            <w:webHidden/>
          </w:rPr>
          <w:t>10</w:t>
        </w:r>
        <w:r w:rsidR="009160F6">
          <w:rPr>
            <w:noProof/>
            <w:webHidden/>
          </w:rPr>
          <w:fldChar w:fldCharType="end"/>
        </w:r>
      </w:hyperlink>
    </w:p>
    <w:p w14:paraId="14170E1A" w14:textId="729450E2" w:rsidR="009160F6" w:rsidRDefault="00110E3C">
      <w:pPr>
        <w:pStyle w:val="Obsah1"/>
        <w:rPr>
          <w:rFonts w:eastAsiaTheme="minorEastAsia" w:cstheme="minorBidi"/>
          <w:bCs w:val="0"/>
          <w:noProof/>
          <w:sz w:val="22"/>
          <w:szCs w:val="22"/>
          <w:lang w:val="cs-CZ"/>
        </w:rPr>
      </w:pPr>
      <w:hyperlink w:anchor="_Toc34659567" w:history="1">
        <w:r w:rsidR="009160F6" w:rsidRPr="001B5311">
          <w:rPr>
            <w:rStyle w:val="Hypertextovodkaz"/>
            <w:noProof/>
          </w:rPr>
          <w:t>C.</w:t>
        </w:r>
        <w:r w:rsidR="009160F6">
          <w:rPr>
            <w:rFonts w:eastAsiaTheme="minorEastAsia" w:cstheme="minorBidi"/>
            <w:bCs w:val="0"/>
            <w:noProof/>
            <w:sz w:val="22"/>
            <w:szCs w:val="22"/>
            <w:lang w:val="cs-CZ"/>
          </w:rPr>
          <w:tab/>
        </w:r>
        <w:r w:rsidR="009160F6" w:rsidRPr="001B5311">
          <w:rPr>
            <w:rStyle w:val="Hypertextovodkaz"/>
            <w:noProof/>
          </w:rPr>
          <w:t>Maximální limity pro vzdělávací aktivity</w:t>
        </w:r>
        <w:r w:rsidR="009160F6">
          <w:rPr>
            <w:noProof/>
            <w:webHidden/>
          </w:rPr>
          <w:tab/>
        </w:r>
        <w:r w:rsidR="009160F6">
          <w:rPr>
            <w:noProof/>
            <w:webHidden/>
          </w:rPr>
          <w:fldChar w:fldCharType="begin"/>
        </w:r>
        <w:r w:rsidR="009160F6">
          <w:rPr>
            <w:noProof/>
            <w:webHidden/>
          </w:rPr>
          <w:instrText xml:space="preserve"> PAGEREF _Toc34659567 \h </w:instrText>
        </w:r>
        <w:r w:rsidR="009160F6">
          <w:rPr>
            <w:noProof/>
            <w:webHidden/>
          </w:rPr>
        </w:r>
        <w:r w:rsidR="009160F6">
          <w:rPr>
            <w:noProof/>
            <w:webHidden/>
          </w:rPr>
          <w:fldChar w:fldCharType="separate"/>
        </w:r>
        <w:r w:rsidR="007349A3">
          <w:rPr>
            <w:noProof/>
            <w:webHidden/>
          </w:rPr>
          <w:t>10</w:t>
        </w:r>
        <w:r w:rsidR="009160F6">
          <w:rPr>
            <w:noProof/>
            <w:webHidden/>
          </w:rPr>
          <w:fldChar w:fldCharType="end"/>
        </w:r>
      </w:hyperlink>
    </w:p>
    <w:p w14:paraId="5384BD28" w14:textId="14EF3F96" w:rsidR="009160F6" w:rsidRDefault="00110E3C">
      <w:pPr>
        <w:pStyle w:val="Obsah1"/>
        <w:rPr>
          <w:rFonts w:eastAsiaTheme="minorEastAsia" w:cstheme="minorBidi"/>
          <w:bCs w:val="0"/>
          <w:noProof/>
          <w:sz w:val="22"/>
          <w:szCs w:val="22"/>
          <w:lang w:val="cs-CZ"/>
        </w:rPr>
      </w:pPr>
      <w:hyperlink w:anchor="_Toc34659568" w:history="1">
        <w:r w:rsidR="009160F6" w:rsidRPr="001B5311">
          <w:rPr>
            <w:rStyle w:val="Hypertextovodkaz"/>
            <w:noProof/>
          </w:rPr>
          <w:t>D.</w:t>
        </w:r>
        <w:r w:rsidR="009160F6">
          <w:rPr>
            <w:rFonts w:eastAsiaTheme="minorEastAsia" w:cstheme="minorBidi"/>
            <w:bCs w:val="0"/>
            <w:noProof/>
            <w:sz w:val="22"/>
            <w:szCs w:val="22"/>
            <w:lang w:val="cs-CZ"/>
          </w:rPr>
          <w:tab/>
        </w:r>
        <w:r w:rsidR="009160F6" w:rsidRPr="001B5311">
          <w:rPr>
            <w:rStyle w:val="Hypertextovodkaz"/>
            <w:noProof/>
          </w:rPr>
          <w:t>Oblasti způsobilých výdajů</w:t>
        </w:r>
        <w:r w:rsidR="009160F6">
          <w:rPr>
            <w:noProof/>
            <w:webHidden/>
          </w:rPr>
          <w:tab/>
        </w:r>
        <w:r w:rsidR="009160F6">
          <w:rPr>
            <w:noProof/>
            <w:webHidden/>
          </w:rPr>
          <w:fldChar w:fldCharType="begin"/>
        </w:r>
        <w:r w:rsidR="009160F6">
          <w:rPr>
            <w:noProof/>
            <w:webHidden/>
          </w:rPr>
          <w:instrText xml:space="preserve"> PAGEREF _Toc34659568 \h </w:instrText>
        </w:r>
        <w:r w:rsidR="009160F6">
          <w:rPr>
            <w:noProof/>
            <w:webHidden/>
          </w:rPr>
        </w:r>
        <w:r w:rsidR="009160F6">
          <w:rPr>
            <w:noProof/>
            <w:webHidden/>
          </w:rPr>
          <w:fldChar w:fldCharType="separate"/>
        </w:r>
        <w:r w:rsidR="007349A3">
          <w:rPr>
            <w:noProof/>
            <w:webHidden/>
          </w:rPr>
          <w:t>11</w:t>
        </w:r>
        <w:r w:rsidR="009160F6">
          <w:rPr>
            <w:noProof/>
            <w:webHidden/>
          </w:rPr>
          <w:fldChar w:fldCharType="end"/>
        </w:r>
      </w:hyperlink>
    </w:p>
    <w:p w14:paraId="26598CD6" w14:textId="44501141" w:rsidR="009160F6" w:rsidRDefault="00110E3C">
      <w:pPr>
        <w:pStyle w:val="Obsah2"/>
        <w:tabs>
          <w:tab w:val="left" w:pos="660"/>
          <w:tab w:val="right" w:leader="dot" w:pos="9016"/>
        </w:tabs>
        <w:rPr>
          <w:rFonts w:eastAsiaTheme="minorEastAsia" w:cstheme="minorBidi"/>
          <w:i w:val="0"/>
          <w:iCs w:val="0"/>
          <w:noProof/>
          <w:sz w:val="22"/>
          <w:szCs w:val="22"/>
          <w:lang w:val="cs-CZ"/>
        </w:rPr>
      </w:pPr>
      <w:hyperlink w:anchor="_Toc34659569" w:history="1">
        <w:r w:rsidR="009160F6" w:rsidRPr="001B5311">
          <w:rPr>
            <w:rStyle w:val="Hypertextovodkaz"/>
            <w:noProof/>
          </w:rPr>
          <w:t>i.</w:t>
        </w:r>
        <w:r w:rsidR="009160F6">
          <w:rPr>
            <w:rFonts w:eastAsiaTheme="minorEastAsia" w:cstheme="minorBidi"/>
            <w:i w:val="0"/>
            <w:iCs w:val="0"/>
            <w:noProof/>
            <w:sz w:val="22"/>
            <w:szCs w:val="22"/>
            <w:lang w:val="cs-CZ"/>
          </w:rPr>
          <w:tab/>
        </w:r>
        <w:r w:rsidR="009160F6" w:rsidRPr="001B5311">
          <w:rPr>
            <w:rStyle w:val="Hypertextovodkaz"/>
            <w:noProof/>
          </w:rPr>
          <w:t>Osobní náklady</w:t>
        </w:r>
        <w:r w:rsidR="009160F6">
          <w:rPr>
            <w:noProof/>
            <w:webHidden/>
          </w:rPr>
          <w:tab/>
        </w:r>
        <w:r w:rsidR="009160F6">
          <w:rPr>
            <w:noProof/>
            <w:webHidden/>
          </w:rPr>
          <w:fldChar w:fldCharType="begin"/>
        </w:r>
        <w:r w:rsidR="009160F6">
          <w:rPr>
            <w:noProof/>
            <w:webHidden/>
          </w:rPr>
          <w:instrText xml:space="preserve"> PAGEREF _Toc34659569 \h </w:instrText>
        </w:r>
        <w:r w:rsidR="009160F6">
          <w:rPr>
            <w:noProof/>
            <w:webHidden/>
          </w:rPr>
        </w:r>
        <w:r w:rsidR="009160F6">
          <w:rPr>
            <w:noProof/>
            <w:webHidden/>
          </w:rPr>
          <w:fldChar w:fldCharType="separate"/>
        </w:r>
        <w:r w:rsidR="007349A3">
          <w:rPr>
            <w:noProof/>
            <w:webHidden/>
          </w:rPr>
          <w:t>12</w:t>
        </w:r>
        <w:r w:rsidR="009160F6">
          <w:rPr>
            <w:noProof/>
            <w:webHidden/>
          </w:rPr>
          <w:fldChar w:fldCharType="end"/>
        </w:r>
      </w:hyperlink>
    </w:p>
    <w:p w14:paraId="547CB765" w14:textId="3AF68A03" w:rsidR="009160F6" w:rsidRDefault="00110E3C">
      <w:pPr>
        <w:pStyle w:val="Obsah2"/>
        <w:tabs>
          <w:tab w:val="left" w:pos="660"/>
          <w:tab w:val="right" w:leader="dot" w:pos="9016"/>
        </w:tabs>
        <w:rPr>
          <w:rFonts w:eastAsiaTheme="minorEastAsia" w:cstheme="minorBidi"/>
          <w:i w:val="0"/>
          <w:iCs w:val="0"/>
          <w:noProof/>
          <w:sz w:val="22"/>
          <w:szCs w:val="22"/>
          <w:lang w:val="cs-CZ"/>
        </w:rPr>
      </w:pPr>
      <w:hyperlink w:anchor="_Toc34659570" w:history="1">
        <w:r w:rsidR="009160F6" w:rsidRPr="001B5311">
          <w:rPr>
            <w:rStyle w:val="Hypertextovodkaz"/>
            <w:noProof/>
          </w:rPr>
          <w:t>ii.</w:t>
        </w:r>
        <w:r w:rsidR="009160F6">
          <w:rPr>
            <w:rFonts w:eastAsiaTheme="minorEastAsia" w:cstheme="minorBidi"/>
            <w:i w:val="0"/>
            <w:iCs w:val="0"/>
            <w:noProof/>
            <w:sz w:val="22"/>
            <w:szCs w:val="22"/>
            <w:lang w:val="cs-CZ"/>
          </w:rPr>
          <w:tab/>
        </w:r>
        <w:r w:rsidR="009160F6" w:rsidRPr="001B5311">
          <w:rPr>
            <w:rStyle w:val="Hypertextovodkaz"/>
            <w:noProof/>
          </w:rPr>
          <w:t>Nákup služeb</w:t>
        </w:r>
        <w:r w:rsidR="009160F6">
          <w:rPr>
            <w:noProof/>
            <w:webHidden/>
          </w:rPr>
          <w:tab/>
        </w:r>
        <w:r w:rsidR="009160F6">
          <w:rPr>
            <w:noProof/>
            <w:webHidden/>
          </w:rPr>
          <w:fldChar w:fldCharType="begin"/>
        </w:r>
        <w:r w:rsidR="009160F6">
          <w:rPr>
            <w:noProof/>
            <w:webHidden/>
          </w:rPr>
          <w:instrText xml:space="preserve"> PAGEREF _Toc34659570 \h </w:instrText>
        </w:r>
        <w:r w:rsidR="009160F6">
          <w:rPr>
            <w:noProof/>
            <w:webHidden/>
          </w:rPr>
        </w:r>
        <w:r w:rsidR="009160F6">
          <w:rPr>
            <w:noProof/>
            <w:webHidden/>
          </w:rPr>
          <w:fldChar w:fldCharType="separate"/>
        </w:r>
        <w:r w:rsidR="007349A3">
          <w:rPr>
            <w:noProof/>
            <w:webHidden/>
          </w:rPr>
          <w:t>13</w:t>
        </w:r>
        <w:r w:rsidR="009160F6">
          <w:rPr>
            <w:noProof/>
            <w:webHidden/>
          </w:rPr>
          <w:fldChar w:fldCharType="end"/>
        </w:r>
      </w:hyperlink>
    </w:p>
    <w:p w14:paraId="4F948CBC" w14:textId="2CB05E6C" w:rsidR="009160F6" w:rsidRDefault="00110E3C">
      <w:pPr>
        <w:pStyle w:val="Obsah2"/>
        <w:tabs>
          <w:tab w:val="left" w:pos="660"/>
          <w:tab w:val="right" w:leader="dot" w:pos="9016"/>
        </w:tabs>
        <w:rPr>
          <w:rFonts w:eastAsiaTheme="minorEastAsia" w:cstheme="minorBidi"/>
          <w:i w:val="0"/>
          <w:iCs w:val="0"/>
          <w:noProof/>
          <w:sz w:val="22"/>
          <w:szCs w:val="22"/>
          <w:lang w:val="cs-CZ"/>
        </w:rPr>
      </w:pPr>
      <w:hyperlink w:anchor="_Toc34659571" w:history="1">
        <w:r w:rsidR="009160F6" w:rsidRPr="001B5311">
          <w:rPr>
            <w:rStyle w:val="Hypertextovodkaz"/>
            <w:noProof/>
          </w:rPr>
          <w:t>iii.</w:t>
        </w:r>
        <w:r w:rsidR="009160F6">
          <w:rPr>
            <w:rFonts w:eastAsiaTheme="minorEastAsia" w:cstheme="minorBidi"/>
            <w:i w:val="0"/>
            <w:iCs w:val="0"/>
            <w:noProof/>
            <w:sz w:val="22"/>
            <w:szCs w:val="22"/>
            <w:lang w:val="cs-CZ"/>
          </w:rPr>
          <w:tab/>
        </w:r>
        <w:r w:rsidR="009160F6" w:rsidRPr="001B5311">
          <w:rPr>
            <w:rStyle w:val="Hypertextovodkaz"/>
            <w:noProof/>
          </w:rPr>
          <w:t>Nákup občerstvení</w:t>
        </w:r>
        <w:r w:rsidR="009160F6">
          <w:rPr>
            <w:noProof/>
            <w:webHidden/>
          </w:rPr>
          <w:tab/>
        </w:r>
        <w:r w:rsidR="009160F6">
          <w:rPr>
            <w:noProof/>
            <w:webHidden/>
          </w:rPr>
          <w:fldChar w:fldCharType="begin"/>
        </w:r>
        <w:r w:rsidR="009160F6">
          <w:rPr>
            <w:noProof/>
            <w:webHidden/>
          </w:rPr>
          <w:instrText xml:space="preserve"> PAGEREF _Toc34659571 \h </w:instrText>
        </w:r>
        <w:r w:rsidR="009160F6">
          <w:rPr>
            <w:noProof/>
            <w:webHidden/>
          </w:rPr>
        </w:r>
        <w:r w:rsidR="009160F6">
          <w:rPr>
            <w:noProof/>
            <w:webHidden/>
          </w:rPr>
          <w:fldChar w:fldCharType="separate"/>
        </w:r>
        <w:r w:rsidR="007349A3">
          <w:rPr>
            <w:noProof/>
            <w:webHidden/>
          </w:rPr>
          <w:t>13</w:t>
        </w:r>
        <w:r w:rsidR="009160F6">
          <w:rPr>
            <w:noProof/>
            <w:webHidden/>
          </w:rPr>
          <w:fldChar w:fldCharType="end"/>
        </w:r>
      </w:hyperlink>
    </w:p>
    <w:p w14:paraId="10E7E97B" w14:textId="2D2E92FD" w:rsidR="009160F6" w:rsidRDefault="00110E3C">
      <w:pPr>
        <w:pStyle w:val="Obsah2"/>
        <w:tabs>
          <w:tab w:val="left" w:pos="660"/>
          <w:tab w:val="right" w:leader="dot" w:pos="9016"/>
        </w:tabs>
        <w:rPr>
          <w:rFonts w:eastAsiaTheme="minorEastAsia" w:cstheme="minorBidi"/>
          <w:i w:val="0"/>
          <w:iCs w:val="0"/>
          <w:noProof/>
          <w:sz w:val="22"/>
          <w:szCs w:val="22"/>
          <w:lang w:val="cs-CZ"/>
        </w:rPr>
      </w:pPr>
      <w:hyperlink w:anchor="_Toc34659572" w:history="1">
        <w:r w:rsidR="009160F6" w:rsidRPr="001B5311">
          <w:rPr>
            <w:rStyle w:val="Hypertextovodkaz"/>
            <w:noProof/>
          </w:rPr>
          <w:t>iv.</w:t>
        </w:r>
        <w:r w:rsidR="009160F6">
          <w:rPr>
            <w:rFonts w:eastAsiaTheme="minorEastAsia" w:cstheme="minorBidi"/>
            <w:i w:val="0"/>
            <w:iCs w:val="0"/>
            <w:noProof/>
            <w:sz w:val="22"/>
            <w:szCs w:val="22"/>
            <w:lang w:val="cs-CZ"/>
          </w:rPr>
          <w:tab/>
        </w:r>
        <w:r w:rsidR="009160F6" w:rsidRPr="001B5311">
          <w:rPr>
            <w:rStyle w:val="Hypertextovodkaz"/>
            <w:noProof/>
          </w:rPr>
          <w:t>Další typy výdajů</w:t>
        </w:r>
        <w:r w:rsidR="009160F6">
          <w:rPr>
            <w:noProof/>
            <w:webHidden/>
          </w:rPr>
          <w:tab/>
        </w:r>
        <w:r w:rsidR="009160F6">
          <w:rPr>
            <w:noProof/>
            <w:webHidden/>
          </w:rPr>
          <w:fldChar w:fldCharType="begin"/>
        </w:r>
        <w:r w:rsidR="009160F6">
          <w:rPr>
            <w:noProof/>
            <w:webHidden/>
          </w:rPr>
          <w:instrText xml:space="preserve"> PAGEREF _Toc34659572 \h </w:instrText>
        </w:r>
        <w:r w:rsidR="009160F6">
          <w:rPr>
            <w:noProof/>
            <w:webHidden/>
          </w:rPr>
        </w:r>
        <w:r w:rsidR="009160F6">
          <w:rPr>
            <w:noProof/>
            <w:webHidden/>
          </w:rPr>
          <w:fldChar w:fldCharType="separate"/>
        </w:r>
        <w:r w:rsidR="007349A3">
          <w:rPr>
            <w:noProof/>
            <w:webHidden/>
          </w:rPr>
          <w:t>13</w:t>
        </w:r>
        <w:r w:rsidR="009160F6">
          <w:rPr>
            <w:noProof/>
            <w:webHidden/>
          </w:rPr>
          <w:fldChar w:fldCharType="end"/>
        </w:r>
      </w:hyperlink>
    </w:p>
    <w:p w14:paraId="2BF4DDB7" w14:textId="4B2F9B3A" w:rsidR="009160F6" w:rsidRDefault="00110E3C">
      <w:pPr>
        <w:pStyle w:val="Obsah1"/>
        <w:rPr>
          <w:rFonts w:eastAsiaTheme="minorEastAsia" w:cstheme="minorBidi"/>
          <w:bCs w:val="0"/>
          <w:noProof/>
          <w:sz w:val="22"/>
          <w:szCs w:val="22"/>
          <w:lang w:val="cs-CZ"/>
        </w:rPr>
      </w:pPr>
      <w:hyperlink w:anchor="_Toc34659573" w:history="1">
        <w:r w:rsidR="009160F6" w:rsidRPr="001B5311">
          <w:rPr>
            <w:rStyle w:val="Hypertextovodkaz"/>
            <w:noProof/>
          </w:rPr>
          <w:t>III.</w:t>
        </w:r>
        <w:r w:rsidR="009160F6">
          <w:rPr>
            <w:rFonts w:eastAsiaTheme="minorEastAsia" w:cstheme="minorBidi"/>
            <w:bCs w:val="0"/>
            <w:noProof/>
            <w:sz w:val="22"/>
            <w:szCs w:val="22"/>
            <w:lang w:val="cs-CZ"/>
          </w:rPr>
          <w:tab/>
        </w:r>
        <w:r w:rsidR="009160F6" w:rsidRPr="001B5311">
          <w:rPr>
            <w:rStyle w:val="Hypertextovodkaz"/>
            <w:noProof/>
          </w:rPr>
          <w:t>Monitorování a vyúčtování</w:t>
        </w:r>
        <w:r w:rsidR="009160F6">
          <w:rPr>
            <w:noProof/>
            <w:webHidden/>
          </w:rPr>
          <w:tab/>
        </w:r>
        <w:r w:rsidR="009160F6">
          <w:rPr>
            <w:noProof/>
            <w:webHidden/>
          </w:rPr>
          <w:fldChar w:fldCharType="begin"/>
        </w:r>
        <w:r w:rsidR="009160F6">
          <w:rPr>
            <w:noProof/>
            <w:webHidden/>
          </w:rPr>
          <w:instrText xml:space="preserve"> PAGEREF _Toc34659573 \h </w:instrText>
        </w:r>
        <w:r w:rsidR="009160F6">
          <w:rPr>
            <w:noProof/>
            <w:webHidden/>
          </w:rPr>
        </w:r>
        <w:r w:rsidR="009160F6">
          <w:rPr>
            <w:noProof/>
            <w:webHidden/>
          </w:rPr>
          <w:fldChar w:fldCharType="separate"/>
        </w:r>
        <w:r w:rsidR="007349A3">
          <w:rPr>
            <w:noProof/>
            <w:webHidden/>
          </w:rPr>
          <w:t>14</w:t>
        </w:r>
        <w:r w:rsidR="009160F6">
          <w:rPr>
            <w:noProof/>
            <w:webHidden/>
          </w:rPr>
          <w:fldChar w:fldCharType="end"/>
        </w:r>
      </w:hyperlink>
    </w:p>
    <w:p w14:paraId="6BEA7AA3" w14:textId="7A736D1A" w:rsidR="009160F6" w:rsidRDefault="00110E3C">
      <w:pPr>
        <w:pStyle w:val="Obsah1"/>
        <w:rPr>
          <w:rFonts w:eastAsiaTheme="minorEastAsia" w:cstheme="minorBidi"/>
          <w:bCs w:val="0"/>
          <w:noProof/>
          <w:sz w:val="22"/>
          <w:szCs w:val="22"/>
          <w:lang w:val="cs-CZ"/>
        </w:rPr>
      </w:pPr>
      <w:hyperlink w:anchor="_Toc34659574" w:history="1">
        <w:r w:rsidR="009160F6" w:rsidRPr="001B5311">
          <w:rPr>
            <w:rStyle w:val="Hypertextovodkaz"/>
            <w:noProof/>
          </w:rPr>
          <w:t>A.</w:t>
        </w:r>
        <w:r w:rsidR="009160F6">
          <w:rPr>
            <w:rFonts w:eastAsiaTheme="minorEastAsia" w:cstheme="minorBidi"/>
            <w:bCs w:val="0"/>
            <w:noProof/>
            <w:sz w:val="22"/>
            <w:szCs w:val="22"/>
            <w:lang w:val="cs-CZ"/>
          </w:rPr>
          <w:tab/>
        </w:r>
        <w:r w:rsidR="009160F6" w:rsidRPr="001B5311">
          <w:rPr>
            <w:rStyle w:val="Hypertextovodkaz"/>
            <w:noProof/>
          </w:rPr>
          <w:t>Obecné pokyny</w:t>
        </w:r>
        <w:r w:rsidR="009160F6">
          <w:rPr>
            <w:noProof/>
            <w:webHidden/>
          </w:rPr>
          <w:tab/>
        </w:r>
        <w:r w:rsidR="009160F6">
          <w:rPr>
            <w:noProof/>
            <w:webHidden/>
          </w:rPr>
          <w:fldChar w:fldCharType="begin"/>
        </w:r>
        <w:r w:rsidR="009160F6">
          <w:rPr>
            <w:noProof/>
            <w:webHidden/>
          </w:rPr>
          <w:instrText xml:space="preserve"> PAGEREF _Toc34659574 \h </w:instrText>
        </w:r>
        <w:r w:rsidR="009160F6">
          <w:rPr>
            <w:noProof/>
            <w:webHidden/>
          </w:rPr>
        </w:r>
        <w:r w:rsidR="009160F6">
          <w:rPr>
            <w:noProof/>
            <w:webHidden/>
          </w:rPr>
          <w:fldChar w:fldCharType="separate"/>
        </w:r>
        <w:r w:rsidR="007349A3">
          <w:rPr>
            <w:noProof/>
            <w:webHidden/>
          </w:rPr>
          <w:t>14</w:t>
        </w:r>
        <w:r w:rsidR="009160F6">
          <w:rPr>
            <w:noProof/>
            <w:webHidden/>
          </w:rPr>
          <w:fldChar w:fldCharType="end"/>
        </w:r>
      </w:hyperlink>
    </w:p>
    <w:p w14:paraId="1D6FB228" w14:textId="20E1FDBE" w:rsidR="009160F6" w:rsidRDefault="00110E3C">
      <w:pPr>
        <w:pStyle w:val="Obsah1"/>
        <w:rPr>
          <w:rFonts w:eastAsiaTheme="minorEastAsia" w:cstheme="minorBidi"/>
          <w:bCs w:val="0"/>
          <w:noProof/>
          <w:sz w:val="22"/>
          <w:szCs w:val="22"/>
          <w:lang w:val="cs-CZ"/>
        </w:rPr>
      </w:pPr>
      <w:hyperlink w:anchor="_Toc34659575" w:history="1">
        <w:r w:rsidR="009160F6" w:rsidRPr="001B5311">
          <w:rPr>
            <w:rStyle w:val="Hypertextovodkaz"/>
            <w:noProof/>
          </w:rPr>
          <w:t>B.</w:t>
        </w:r>
        <w:r w:rsidR="009160F6">
          <w:rPr>
            <w:rFonts w:eastAsiaTheme="minorEastAsia" w:cstheme="minorBidi"/>
            <w:bCs w:val="0"/>
            <w:noProof/>
            <w:sz w:val="22"/>
            <w:szCs w:val="22"/>
            <w:lang w:val="cs-CZ"/>
          </w:rPr>
          <w:tab/>
        </w:r>
        <w:r w:rsidR="009160F6" w:rsidRPr="001B5311">
          <w:rPr>
            <w:rStyle w:val="Hypertextovodkaz"/>
            <w:noProof/>
          </w:rPr>
          <w:t>Seznam podkladů</w:t>
        </w:r>
        <w:r w:rsidR="009160F6">
          <w:rPr>
            <w:noProof/>
            <w:webHidden/>
          </w:rPr>
          <w:tab/>
        </w:r>
        <w:r w:rsidR="009160F6">
          <w:rPr>
            <w:noProof/>
            <w:webHidden/>
          </w:rPr>
          <w:fldChar w:fldCharType="begin"/>
        </w:r>
        <w:r w:rsidR="009160F6">
          <w:rPr>
            <w:noProof/>
            <w:webHidden/>
          </w:rPr>
          <w:instrText xml:space="preserve"> PAGEREF _Toc34659575 \h </w:instrText>
        </w:r>
        <w:r w:rsidR="009160F6">
          <w:rPr>
            <w:noProof/>
            <w:webHidden/>
          </w:rPr>
        </w:r>
        <w:r w:rsidR="009160F6">
          <w:rPr>
            <w:noProof/>
            <w:webHidden/>
          </w:rPr>
          <w:fldChar w:fldCharType="separate"/>
        </w:r>
        <w:r w:rsidR="007349A3">
          <w:rPr>
            <w:noProof/>
            <w:webHidden/>
          </w:rPr>
          <w:t>14</w:t>
        </w:r>
        <w:r w:rsidR="009160F6">
          <w:rPr>
            <w:noProof/>
            <w:webHidden/>
          </w:rPr>
          <w:fldChar w:fldCharType="end"/>
        </w:r>
      </w:hyperlink>
    </w:p>
    <w:p w14:paraId="61127495" w14:textId="06FD05D1" w:rsidR="009160F6" w:rsidRDefault="00110E3C">
      <w:pPr>
        <w:pStyle w:val="Obsah1"/>
        <w:rPr>
          <w:rFonts w:eastAsiaTheme="minorEastAsia" w:cstheme="minorBidi"/>
          <w:bCs w:val="0"/>
          <w:noProof/>
          <w:sz w:val="22"/>
          <w:szCs w:val="22"/>
          <w:lang w:val="cs-CZ"/>
        </w:rPr>
      </w:pPr>
      <w:hyperlink w:anchor="_Toc34659576" w:history="1">
        <w:r w:rsidR="009160F6" w:rsidRPr="001B5311">
          <w:rPr>
            <w:rStyle w:val="Hypertextovodkaz"/>
            <w:noProof/>
          </w:rPr>
          <w:t>C.</w:t>
        </w:r>
        <w:r w:rsidR="009160F6">
          <w:rPr>
            <w:rFonts w:eastAsiaTheme="minorEastAsia" w:cstheme="minorBidi"/>
            <w:bCs w:val="0"/>
            <w:noProof/>
            <w:sz w:val="22"/>
            <w:szCs w:val="22"/>
            <w:lang w:val="cs-CZ"/>
          </w:rPr>
          <w:tab/>
        </w:r>
        <w:r w:rsidR="009160F6" w:rsidRPr="001B5311">
          <w:rPr>
            <w:rStyle w:val="Hypertextovodkaz"/>
            <w:noProof/>
          </w:rPr>
          <w:t>Vyúčtování výdajů – realizace kurzů a praxí</w:t>
        </w:r>
        <w:r w:rsidR="009160F6">
          <w:rPr>
            <w:noProof/>
            <w:webHidden/>
          </w:rPr>
          <w:tab/>
        </w:r>
        <w:r w:rsidR="009160F6">
          <w:rPr>
            <w:noProof/>
            <w:webHidden/>
          </w:rPr>
          <w:fldChar w:fldCharType="begin"/>
        </w:r>
        <w:r w:rsidR="009160F6">
          <w:rPr>
            <w:noProof/>
            <w:webHidden/>
          </w:rPr>
          <w:instrText xml:space="preserve"> PAGEREF _Toc34659576 \h </w:instrText>
        </w:r>
        <w:r w:rsidR="009160F6">
          <w:rPr>
            <w:noProof/>
            <w:webHidden/>
          </w:rPr>
        </w:r>
        <w:r w:rsidR="009160F6">
          <w:rPr>
            <w:noProof/>
            <w:webHidden/>
          </w:rPr>
          <w:fldChar w:fldCharType="separate"/>
        </w:r>
        <w:r w:rsidR="007349A3">
          <w:rPr>
            <w:noProof/>
            <w:webHidden/>
          </w:rPr>
          <w:t>17</w:t>
        </w:r>
        <w:r w:rsidR="009160F6">
          <w:rPr>
            <w:noProof/>
            <w:webHidden/>
          </w:rPr>
          <w:fldChar w:fldCharType="end"/>
        </w:r>
      </w:hyperlink>
    </w:p>
    <w:p w14:paraId="1C0F5FFB" w14:textId="055D742D" w:rsidR="009160F6" w:rsidRDefault="00110E3C">
      <w:pPr>
        <w:pStyle w:val="Obsah1"/>
        <w:rPr>
          <w:rFonts w:eastAsiaTheme="minorEastAsia" w:cstheme="minorBidi"/>
          <w:bCs w:val="0"/>
          <w:noProof/>
          <w:sz w:val="22"/>
          <w:szCs w:val="22"/>
          <w:lang w:val="cs-CZ"/>
        </w:rPr>
      </w:pPr>
      <w:hyperlink w:anchor="_Toc34659577" w:history="1">
        <w:r w:rsidR="009160F6" w:rsidRPr="001B5311">
          <w:rPr>
            <w:rStyle w:val="Hypertextovodkaz"/>
            <w:noProof/>
          </w:rPr>
          <w:t>IV.</w:t>
        </w:r>
        <w:r w:rsidR="009160F6">
          <w:rPr>
            <w:rFonts w:eastAsiaTheme="minorEastAsia" w:cstheme="minorBidi"/>
            <w:bCs w:val="0"/>
            <w:noProof/>
            <w:sz w:val="22"/>
            <w:szCs w:val="22"/>
            <w:lang w:val="cs-CZ"/>
          </w:rPr>
          <w:tab/>
        </w:r>
        <w:r w:rsidR="009160F6" w:rsidRPr="001B5311">
          <w:rPr>
            <w:rStyle w:val="Hypertextovodkaz"/>
            <w:noProof/>
          </w:rPr>
          <w:t>Publicita</w:t>
        </w:r>
        <w:r w:rsidR="009160F6">
          <w:rPr>
            <w:noProof/>
            <w:webHidden/>
          </w:rPr>
          <w:tab/>
        </w:r>
        <w:r w:rsidR="009160F6">
          <w:rPr>
            <w:noProof/>
            <w:webHidden/>
          </w:rPr>
          <w:fldChar w:fldCharType="begin"/>
        </w:r>
        <w:r w:rsidR="009160F6">
          <w:rPr>
            <w:noProof/>
            <w:webHidden/>
          </w:rPr>
          <w:instrText xml:space="preserve"> PAGEREF _Toc34659577 \h </w:instrText>
        </w:r>
        <w:r w:rsidR="009160F6">
          <w:rPr>
            <w:noProof/>
            <w:webHidden/>
          </w:rPr>
        </w:r>
        <w:r w:rsidR="009160F6">
          <w:rPr>
            <w:noProof/>
            <w:webHidden/>
          </w:rPr>
          <w:fldChar w:fldCharType="separate"/>
        </w:r>
        <w:r w:rsidR="007349A3">
          <w:rPr>
            <w:noProof/>
            <w:webHidden/>
          </w:rPr>
          <w:t>19</w:t>
        </w:r>
        <w:r w:rsidR="009160F6">
          <w:rPr>
            <w:noProof/>
            <w:webHidden/>
          </w:rPr>
          <w:fldChar w:fldCharType="end"/>
        </w:r>
      </w:hyperlink>
    </w:p>
    <w:p w14:paraId="14E1F096" w14:textId="1223D290" w:rsidR="009160F6" w:rsidRDefault="00110E3C">
      <w:pPr>
        <w:pStyle w:val="Obsah1"/>
        <w:rPr>
          <w:rFonts w:eastAsiaTheme="minorEastAsia" w:cstheme="minorBidi"/>
          <w:bCs w:val="0"/>
          <w:noProof/>
          <w:sz w:val="22"/>
          <w:szCs w:val="22"/>
          <w:lang w:val="cs-CZ"/>
        </w:rPr>
      </w:pPr>
      <w:hyperlink w:anchor="_Toc34659578" w:history="1">
        <w:r w:rsidR="009160F6" w:rsidRPr="001B5311">
          <w:rPr>
            <w:rStyle w:val="Hypertextovodkaz"/>
            <w:noProof/>
          </w:rPr>
          <w:t>V.</w:t>
        </w:r>
        <w:r w:rsidR="009160F6">
          <w:rPr>
            <w:rFonts w:eastAsiaTheme="minorEastAsia" w:cstheme="minorBidi"/>
            <w:bCs w:val="0"/>
            <w:noProof/>
            <w:sz w:val="22"/>
            <w:szCs w:val="22"/>
            <w:lang w:val="cs-CZ"/>
          </w:rPr>
          <w:tab/>
        </w:r>
        <w:r w:rsidR="009160F6" w:rsidRPr="001B5311">
          <w:rPr>
            <w:rStyle w:val="Hypertextovodkaz"/>
            <w:noProof/>
          </w:rPr>
          <w:t>Změny</w:t>
        </w:r>
        <w:r w:rsidR="009160F6">
          <w:rPr>
            <w:noProof/>
            <w:webHidden/>
          </w:rPr>
          <w:tab/>
        </w:r>
        <w:r w:rsidR="009160F6">
          <w:rPr>
            <w:noProof/>
            <w:webHidden/>
          </w:rPr>
          <w:fldChar w:fldCharType="begin"/>
        </w:r>
        <w:r w:rsidR="009160F6">
          <w:rPr>
            <w:noProof/>
            <w:webHidden/>
          </w:rPr>
          <w:instrText xml:space="preserve"> PAGEREF _Toc34659578 \h </w:instrText>
        </w:r>
        <w:r w:rsidR="009160F6">
          <w:rPr>
            <w:noProof/>
            <w:webHidden/>
          </w:rPr>
        </w:r>
        <w:r w:rsidR="009160F6">
          <w:rPr>
            <w:noProof/>
            <w:webHidden/>
          </w:rPr>
          <w:fldChar w:fldCharType="separate"/>
        </w:r>
        <w:r w:rsidR="007349A3">
          <w:rPr>
            <w:noProof/>
            <w:webHidden/>
          </w:rPr>
          <w:t>20</w:t>
        </w:r>
        <w:r w:rsidR="009160F6">
          <w:rPr>
            <w:noProof/>
            <w:webHidden/>
          </w:rPr>
          <w:fldChar w:fldCharType="end"/>
        </w:r>
      </w:hyperlink>
    </w:p>
    <w:p w14:paraId="3AD75A26" w14:textId="6EC25C7A" w:rsidR="009160F6" w:rsidRDefault="00110E3C">
      <w:pPr>
        <w:pStyle w:val="Obsah1"/>
        <w:rPr>
          <w:rFonts w:eastAsiaTheme="minorEastAsia" w:cstheme="minorBidi"/>
          <w:bCs w:val="0"/>
          <w:noProof/>
          <w:sz w:val="22"/>
          <w:szCs w:val="22"/>
          <w:lang w:val="cs-CZ"/>
        </w:rPr>
      </w:pPr>
      <w:hyperlink w:anchor="_Toc34659579" w:history="1">
        <w:r w:rsidR="009160F6" w:rsidRPr="001B5311">
          <w:rPr>
            <w:rStyle w:val="Hypertextovodkaz"/>
            <w:noProof/>
          </w:rPr>
          <w:t>V.</w:t>
        </w:r>
        <w:r w:rsidR="009160F6">
          <w:rPr>
            <w:rFonts w:eastAsiaTheme="minorEastAsia" w:cstheme="minorBidi"/>
            <w:bCs w:val="0"/>
            <w:noProof/>
            <w:sz w:val="22"/>
            <w:szCs w:val="22"/>
            <w:lang w:val="cs-CZ"/>
          </w:rPr>
          <w:tab/>
        </w:r>
        <w:r w:rsidR="009160F6" w:rsidRPr="001B5311">
          <w:rPr>
            <w:rStyle w:val="Hypertextovodkaz"/>
            <w:noProof/>
          </w:rPr>
          <w:t>Financování</w:t>
        </w:r>
        <w:r w:rsidR="009160F6">
          <w:rPr>
            <w:noProof/>
            <w:webHidden/>
          </w:rPr>
          <w:tab/>
        </w:r>
        <w:r w:rsidR="009160F6">
          <w:rPr>
            <w:noProof/>
            <w:webHidden/>
          </w:rPr>
          <w:fldChar w:fldCharType="begin"/>
        </w:r>
        <w:r w:rsidR="009160F6">
          <w:rPr>
            <w:noProof/>
            <w:webHidden/>
          </w:rPr>
          <w:instrText xml:space="preserve"> PAGEREF _Toc34659579 \h </w:instrText>
        </w:r>
        <w:r w:rsidR="009160F6">
          <w:rPr>
            <w:noProof/>
            <w:webHidden/>
          </w:rPr>
        </w:r>
        <w:r w:rsidR="009160F6">
          <w:rPr>
            <w:noProof/>
            <w:webHidden/>
          </w:rPr>
          <w:fldChar w:fldCharType="separate"/>
        </w:r>
        <w:r w:rsidR="007349A3">
          <w:rPr>
            <w:noProof/>
            <w:webHidden/>
          </w:rPr>
          <w:t>20</w:t>
        </w:r>
        <w:r w:rsidR="009160F6">
          <w:rPr>
            <w:noProof/>
            <w:webHidden/>
          </w:rPr>
          <w:fldChar w:fldCharType="end"/>
        </w:r>
      </w:hyperlink>
    </w:p>
    <w:p w14:paraId="72AA2B5C" w14:textId="3360D999" w:rsidR="009160F6" w:rsidRDefault="00110E3C">
      <w:pPr>
        <w:pStyle w:val="Obsah1"/>
        <w:rPr>
          <w:rFonts w:eastAsiaTheme="minorEastAsia" w:cstheme="minorBidi"/>
          <w:bCs w:val="0"/>
          <w:noProof/>
          <w:sz w:val="22"/>
          <w:szCs w:val="22"/>
          <w:lang w:val="cs-CZ"/>
        </w:rPr>
      </w:pPr>
      <w:hyperlink w:anchor="_Toc34659580" w:history="1">
        <w:r w:rsidR="009160F6" w:rsidRPr="001B5311">
          <w:rPr>
            <w:rStyle w:val="Hypertextovodkaz"/>
            <w:noProof/>
          </w:rPr>
          <w:t>VI.</w:t>
        </w:r>
        <w:r w:rsidR="009160F6">
          <w:rPr>
            <w:rFonts w:eastAsiaTheme="minorEastAsia" w:cstheme="minorBidi"/>
            <w:bCs w:val="0"/>
            <w:noProof/>
            <w:sz w:val="22"/>
            <w:szCs w:val="22"/>
            <w:lang w:val="cs-CZ"/>
          </w:rPr>
          <w:tab/>
        </w:r>
        <w:r w:rsidR="009160F6" w:rsidRPr="001B5311">
          <w:rPr>
            <w:rStyle w:val="Hypertextovodkaz"/>
            <w:noProof/>
          </w:rPr>
          <w:t>Přílohy</w:t>
        </w:r>
        <w:r w:rsidR="009160F6">
          <w:rPr>
            <w:noProof/>
            <w:webHidden/>
          </w:rPr>
          <w:tab/>
        </w:r>
        <w:r w:rsidR="009160F6">
          <w:rPr>
            <w:noProof/>
            <w:webHidden/>
          </w:rPr>
          <w:fldChar w:fldCharType="begin"/>
        </w:r>
        <w:r w:rsidR="009160F6">
          <w:rPr>
            <w:noProof/>
            <w:webHidden/>
          </w:rPr>
          <w:instrText xml:space="preserve"> PAGEREF _Toc34659580 \h </w:instrText>
        </w:r>
        <w:r w:rsidR="009160F6">
          <w:rPr>
            <w:noProof/>
            <w:webHidden/>
          </w:rPr>
        </w:r>
        <w:r w:rsidR="009160F6">
          <w:rPr>
            <w:noProof/>
            <w:webHidden/>
          </w:rPr>
          <w:fldChar w:fldCharType="separate"/>
        </w:r>
        <w:r w:rsidR="007349A3">
          <w:rPr>
            <w:noProof/>
            <w:webHidden/>
          </w:rPr>
          <w:t>21</w:t>
        </w:r>
        <w:r w:rsidR="009160F6">
          <w:rPr>
            <w:noProof/>
            <w:webHidden/>
          </w:rPr>
          <w:fldChar w:fldCharType="end"/>
        </w:r>
      </w:hyperlink>
    </w:p>
    <w:p w14:paraId="5DFC6CA8" w14:textId="054E542C" w:rsidR="00942744" w:rsidRDefault="007211E8">
      <w:r>
        <w:fldChar w:fldCharType="end"/>
      </w:r>
    </w:p>
    <w:p w14:paraId="4F489C85" w14:textId="77777777" w:rsidR="00E06451" w:rsidRDefault="00E06451">
      <w:pPr>
        <w:rPr>
          <w:rFonts w:ascii="Calibri" w:eastAsia="Calibri" w:hAnsi="Calibri" w:cs="Calibri"/>
          <w:sz w:val="28"/>
          <w:szCs w:val="28"/>
          <w:shd w:val="clear" w:color="auto" w:fill="FFFFFF"/>
          <w:lang w:val="cs-CZ"/>
        </w:rPr>
      </w:pPr>
      <w:r>
        <w:rPr>
          <w:rFonts w:ascii="Calibri" w:eastAsia="Calibri" w:hAnsi="Calibri" w:cs="Calibri"/>
          <w:sz w:val="28"/>
          <w:szCs w:val="28"/>
          <w:shd w:val="clear" w:color="auto" w:fill="FFFFFF"/>
        </w:rPr>
        <w:br w:type="page"/>
      </w:r>
    </w:p>
    <w:p w14:paraId="010E2BEC" w14:textId="77777777" w:rsidR="00526CFD" w:rsidRPr="00526CFD" w:rsidRDefault="00526CFD" w:rsidP="00526CFD">
      <w:pPr>
        <w:pStyle w:val="Normln1"/>
        <w:rPr>
          <w:rFonts w:ascii="Calibri" w:eastAsia="Calibri" w:hAnsi="Calibri" w:cs="Calibri"/>
          <w:sz w:val="28"/>
          <w:szCs w:val="28"/>
        </w:rPr>
      </w:pPr>
      <w:r w:rsidRPr="00526CFD">
        <w:rPr>
          <w:rFonts w:ascii="Calibri" w:eastAsia="Calibri" w:hAnsi="Calibri" w:cs="Calibri"/>
          <w:sz w:val="28"/>
          <w:szCs w:val="28"/>
          <w:shd w:val="clear" w:color="auto" w:fill="FFFFFF"/>
        </w:rPr>
        <w:lastRenderedPageBreak/>
        <w:t>Evidence důležitých změn oproti předchozí verzi Metodického pokynu</w:t>
      </w:r>
    </w:p>
    <w:tbl>
      <w:tblPr>
        <w:tblW w:w="9179"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2651"/>
        <w:gridCol w:w="6528"/>
      </w:tblGrid>
      <w:tr w:rsidR="00526CFD" w:rsidRPr="00526CFD" w14:paraId="1B1680A9" w14:textId="77777777" w:rsidTr="007349A3">
        <w:tc>
          <w:tcPr>
            <w:tcW w:w="2651"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90" w:type="dxa"/>
            </w:tcMar>
          </w:tcPr>
          <w:p w14:paraId="17B7BEE6" w14:textId="77777777" w:rsidR="00526CFD" w:rsidRPr="00526CFD" w:rsidRDefault="00526CFD" w:rsidP="00526CFD">
            <w:pPr>
              <w:pStyle w:val="Normln1"/>
              <w:widowControl w:val="0"/>
              <w:spacing w:after="0"/>
              <w:rPr>
                <w:rFonts w:ascii="Calibri" w:eastAsia="Calibri" w:hAnsi="Calibri" w:cs="Calibri"/>
                <w:b/>
                <w:sz w:val="24"/>
                <w:szCs w:val="24"/>
              </w:rPr>
            </w:pPr>
            <w:r w:rsidRPr="00526CFD">
              <w:rPr>
                <w:rFonts w:ascii="Calibri" w:eastAsia="Calibri" w:hAnsi="Calibri" w:cs="Calibri"/>
                <w:b/>
                <w:sz w:val="24"/>
                <w:szCs w:val="24"/>
                <w:shd w:val="clear" w:color="auto" w:fill="FFFFFF"/>
              </w:rPr>
              <w:t>Kapitola/příloha</w:t>
            </w:r>
          </w:p>
        </w:tc>
        <w:tc>
          <w:tcPr>
            <w:tcW w:w="652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90" w:type="dxa"/>
            </w:tcMar>
          </w:tcPr>
          <w:p w14:paraId="7F233FF0" w14:textId="77777777" w:rsidR="00526CFD" w:rsidRPr="00526CFD" w:rsidRDefault="00526CFD" w:rsidP="00526CFD">
            <w:pPr>
              <w:pStyle w:val="Normln1"/>
              <w:widowControl w:val="0"/>
              <w:spacing w:after="0"/>
              <w:rPr>
                <w:rFonts w:ascii="Calibri" w:eastAsia="Calibri" w:hAnsi="Calibri" w:cs="Calibri"/>
                <w:b/>
                <w:sz w:val="24"/>
                <w:szCs w:val="24"/>
              </w:rPr>
            </w:pPr>
            <w:r w:rsidRPr="00526CFD">
              <w:rPr>
                <w:rFonts w:ascii="Calibri" w:eastAsia="Calibri" w:hAnsi="Calibri" w:cs="Calibri"/>
                <w:b/>
                <w:sz w:val="24"/>
                <w:szCs w:val="24"/>
                <w:shd w:val="clear" w:color="auto" w:fill="FFFFFF"/>
              </w:rPr>
              <w:t>Stručný popis důležité změny</w:t>
            </w:r>
          </w:p>
          <w:p w14:paraId="0658E359" w14:textId="77777777" w:rsidR="00526CFD" w:rsidRPr="00526CFD" w:rsidRDefault="00526CFD" w:rsidP="00526CFD">
            <w:pPr>
              <w:pStyle w:val="Normln1"/>
              <w:widowControl w:val="0"/>
              <w:spacing w:after="0"/>
              <w:rPr>
                <w:rFonts w:ascii="Calibri" w:eastAsia="Calibri" w:hAnsi="Calibri" w:cs="Calibri"/>
                <w:b/>
                <w:sz w:val="24"/>
                <w:szCs w:val="24"/>
                <w:shd w:val="clear" w:color="auto" w:fill="FCE5CD"/>
              </w:rPr>
            </w:pPr>
          </w:p>
        </w:tc>
      </w:tr>
      <w:tr w:rsidR="00526CFD" w:rsidRPr="00526CFD" w14:paraId="4A43D73D" w14:textId="77777777" w:rsidTr="007349A3">
        <w:tc>
          <w:tcPr>
            <w:tcW w:w="2651"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90" w:type="dxa"/>
            </w:tcMar>
          </w:tcPr>
          <w:p w14:paraId="49529721" w14:textId="77777777" w:rsidR="00526CFD" w:rsidRPr="00526CFD" w:rsidRDefault="00526CFD" w:rsidP="00526CFD">
            <w:pPr>
              <w:pStyle w:val="Normln1"/>
              <w:widowControl w:val="0"/>
              <w:spacing w:after="0"/>
              <w:rPr>
                <w:rFonts w:ascii="Calibri" w:eastAsia="Calibri" w:hAnsi="Calibri" w:cs="Calibri"/>
                <w:sz w:val="24"/>
                <w:szCs w:val="24"/>
              </w:rPr>
            </w:pPr>
            <w:r w:rsidRPr="00526CFD">
              <w:rPr>
                <w:rFonts w:ascii="Calibri" w:eastAsia="Calibri" w:hAnsi="Calibri" w:cs="Calibri"/>
                <w:sz w:val="24"/>
                <w:szCs w:val="24"/>
                <w:shd w:val="clear" w:color="auto" w:fill="FFFFFF"/>
              </w:rPr>
              <w:t>Část I., kap. B, bod 2</w:t>
            </w:r>
          </w:p>
        </w:tc>
        <w:tc>
          <w:tcPr>
            <w:tcW w:w="652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90" w:type="dxa"/>
            </w:tcMar>
          </w:tcPr>
          <w:p w14:paraId="007CAEA0" w14:textId="77777777" w:rsidR="00526CFD" w:rsidRPr="00526CFD" w:rsidRDefault="00526CFD" w:rsidP="00526CFD">
            <w:pPr>
              <w:pStyle w:val="Normln1"/>
              <w:widowControl w:val="0"/>
              <w:spacing w:after="0"/>
              <w:jc w:val="both"/>
              <w:rPr>
                <w:rFonts w:ascii="Calibri" w:eastAsia="Calibri" w:hAnsi="Calibri" w:cs="Calibri"/>
                <w:sz w:val="24"/>
                <w:szCs w:val="24"/>
              </w:rPr>
            </w:pPr>
            <w:r w:rsidRPr="00526CFD">
              <w:rPr>
                <w:rFonts w:ascii="Calibri" w:eastAsia="Calibri" w:hAnsi="Calibri" w:cs="Calibri"/>
                <w:sz w:val="24"/>
                <w:szCs w:val="24"/>
                <w:shd w:val="clear" w:color="auto" w:fill="FFFFFF"/>
              </w:rPr>
              <w:t xml:space="preserve">Zrušení nemožnosti přestupu do jiného programu. </w:t>
            </w:r>
          </w:p>
        </w:tc>
      </w:tr>
      <w:tr w:rsidR="00526CFD" w:rsidRPr="00526CFD" w14:paraId="04C7185E" w14:textId="77777777" w:rsidTr="007349A3">
        <w:tc>
          <w:tcPr>
            <w:tcW w:w="2651"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90" w:type="dxa"/>
            </w:tcMar>
          </w:tcPr>
          <w:p w14:paraId="27A511F5" w14:textId="77777777" w:rsidR="00526CFD" w:rsidRPr="00526CFD" w:rsidRDefault="00526CFD" w:rsidP="00526CFD">
            <w:pPr>
              <w:pStyle w:val="Normln1"/>
              <w:widowControl w:val="0"/>
              <w:spacing w:after="0"/>
              <w:rPr>
                <w:rFonts w:ascii="Calibri" w:eastAsia="Calibri" w:hAnsi="Calibri" w:cs="Calibri"/>
                <w:sz w:val="24"/>
                <w:szCs w:val="24"/>
                <w:shd w:val="clear" w:color="auto" w:fill="FFFFFF"/>
              </w:rPr>
            </w:pPr>
            <w:r w:rsidRPr="00526CFD">
              <w:rPr>
                <w:rFonts w:ascii="Calibri" w:eastAsia="Calibri" w:hAnsi="Calibri" w:cs="Calibri"/>
                <w:sz w:val="24"/>
                <w:szCs w:val="24"/>
                <w:shd w:val="clear" w:color="auto" w:fill="FFFFFF"/>
              </w:rPr>
              <w:t xml:space="preserve">Část II., kap. A, bod </w:t>
            </w:r>
            <w:proofErr w:type="gramStart"/>
            <w:r w:rsidRPr="00526CFD">
              <w:rPr>
                <w:rFonts w:ascii="Calibri" w:eastAsia="Calibri" w:hAnsi="Calibri" w:cs="Calibri"/>
                <w:sz w:val="24"/>
                <w:szCs w:val="24"/>
                <w:shd w:val="clear" w:color="auto" w:fill="FFFFFF"/>
              </w:rPr>
              <w:t>2d</w:t>
            </w:r>
            <w:proofErr w:type="gramEnd"/>
          </w:p>
        </w:tc>
        <w:tc>
          <w:tcPr>
            <w:tcW w:w="652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90" w:type="dxa"/>
            </w:tcMar>
          </w:tcPr>
          <w:p w14:paraId="02AEBE4C" w14:textId="6E7F59FF" w:rsidR="00526CFD" w:rsidRPr="00526CFD" w:rsidRDefault="00526CFD" w:rsidP="00526CFD">
            <w:pPr>
              <w:pStyle w:val="Normln1"/>
              <w:widowControl w:val="0"/>
              <w:spacing w:after="0"/>
              <w:jc w:val="both"/>
              <w:rPr>
                <w:rFonts w:ascii="Calibri" w:eastAsia="Calibri" w:hAnsi="Calibri" w:cs="Calibri"/>
                <w:sz w:val="24"/>
                <w:szCs w:val="24"/>
                <w:shd w:val="clear" w:color="auto" w:fill="FFFFFF"/>
              </w:rPr>
            </w:pPr>
            <w:r w:rsidRPr="00526CFD">
              <w:rPr>
                <w:rFonts w:ascii="Calibri" w:eastAsia="Calibri" w:hAnsi="Calibri" w:cs="Calibri"/>
                <w:sz w:val="24"/>
                <w:szCs w:val="24"/>
                <w:shd w:val="clear" w:color="auto" w:fill="FFFFFF"/>
              </w:rPr>
              <w:t xml:space="preserve">Doplnění poznámky </w:t>
            </w:r>
            <w:r w:rsidR="00171611">
              <w:rPr>
                <w:rFonts w:ascii="Calibri" w:eastAsia="Calibri" w:hAnsi="Calibri" w:cs="Calibri"/>
                <w:sz w:val="24"/>
                <w:szCs w:val="24"/>
                <w:shd w:val="clear" w:color="auto" w:fill="FFFFFF"/>
              </w:rPr>
              <w:t>p</w:t>
            </w:r>
            <w:r w:rsidRPr="00526CFD">
              <w:rPr>
                <w:rFonts w:ascii="Calibri" w:eastAsia="Calibri" w:hAnsi="Calibri" w:cs="Calibri"/>
                <w:sz w:val="24"/>
                <w:szCs w:val="24"/>
                <w:shd w:val="clear" w:color="auto" w:fill="FFFFFF"/>
              </w:rPr>
              <w:t>od čarou: výdaj se uvede do tabulky vyúčtování tehdy, pokud byl v daném monitorovacím období i uhrazen.</w:t>
            </w:r>
          </w:p>
        </w:tc>
      </w:tr>
      <w:tr w:rsidR="00526CFD" w:rsidRPr="00526CFD" w14:paraId="31965C8B" w14:textId="77777777" w:rsidTr="007349A3">
        <w:tc>
          <w:tcPr>
            <w:tcW w:w="2651"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90" w:type="dxa"/>
            </w:tcMar>
          </w:tcPr>
          <w:p w14:paraId="64FE8ED0" w14:textId="77777777" w:rsidR="00526CFD" w:rsidRPr="00526CFD" w:rsidRDefault="00526CFD" w:rsidP="00526CFD">
            <w:pPr>
              <w:pStyle w:val="Normln1"/>
              <w:widowControl w:val="0"/>
              <w:tabs>
                <w:tab w:val="right" w:pos="2461"/>
              </w:tabs>
              <w:spacing w:after="0"/>
              <w:rPr>
                <w:rFonts w:ascii="Calibri" w:eastAsia="Calibri" w:hAnsi="Calibri" w:cs="Calibri"/>
                <w:sz w:val="24"/>
                <w:szCs w:val="24"/>
              </w:rPr>
            </w:pPr>
            <w:r w:rsidRPr="00526CFD">
              <w:rPr>
                <w:rFonts w:ascii="Calibri" w:eastAsia="Calibri" w:hAnsi="Calibri" w:cs="Calibri"/>
                <w:sz w:val="24"/>
                <w:szCs w:val="24"/>
                <w:shd w:val="clear" w:color="auto" w:fill="FFFFFF"/>
              </w:rPr>
              <w:t>Část II., kap. B, bod 1</w:t>
            </w:r>
            <w:r w:rsidRPr="00526CFD">
              <w:rPr>
                <w:rFonts w:ascii="Calibri" w:eastAsia="Calibri" w:hAnsi="Calibri" w:cs="Calibri"/>
                <w:sz w:val="24"/>
                <w:szCs w:val="24"/>
                <w:shd w:val="clear" w:color="auto" w:fill="FFFFFF"/>
              </w:rPr>
              <w:tab/>
            </w:r>
          </w:p>
        </w:tc>
        <w:tc>
          <w:tcPr>
            <w:tcW w:w="652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90" w:type="dxa"/>
            </w:tcMar>
          </w:tcPr>
          <w:p w14:paraId="14B9A908" w14:textId="77777777" w:rsidR="00526CFD" w:rsidRPr="00526CFD" w:rsidRDefault="00526CFD" w:rsidP="00526CFD">
            <w:pPr>
              <w:pStyle w:val="Normln1"/>
              <w:widowControl w:val="0"/>
              <w:spacing w:after="0"/>
              <w:jc w:val="both"/>
              <w:rPr>
                <w:rFonts w:ascii="Calibri" w:eastAsia="Calibri" w:hAnsi="Calibri" w:cs="Calibri"/>
                <w:sz w:val="24"/>
                <w:szCs w:val="24"/>
              </w:rPr>
            </w:pPr>
            <w:r w:rsidRPr="00526CFD">
              <w:rPr>
                <w:rFonts w:ascii="Calibri" w:eastAsia="Calibri" w:hAnsi="Calibri" w:cs="Calibri"/>
                <w:sz w:val="24"/>
                <w:szCs w:val="24"/>
                <w:shd w:val="clear" w:color="auto" w:fill="FFFFFF"/>
              </w:rPr>
              <w:t>Zrušení povinnosti uvádění účasti na vzdělávací aktivitě v celých hodinách.</w:t>
            </w:r>
          </w:p>
        </w:tc>
      </w:tr>
      <w:tr w:rsidR="00526CFD" w:rsidRPr="00526CFD" w14:paraId="660B0318" w14:textId="77777777" w:rsidTr="007349A3">
        <w:tc>
          <w:tcPr>
            <w:tcW w:w="2651"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90" w:type="dxa"/>
            </w:tcMar>
          </w:tcPr>
          <w:p w14:paraId="706902A8" w14:textId="77777777" w:rsidR="00526CFD" w:rsidRPr="00526CFD" w:rsidRDefault="00526CFD" w:rsidP="00526CFD">
            <w:pPr>
              <w:pStyle w:val="Normln1"/>
              <w:widowControl w:val="0"/>
              <w:spacing w:after="0"/>
              <w:rPr>
                <w:rFonts w:ascii="Calibri" w:eastAsia="Calibri" w:hAnsi="Calibri" w:cs="Calibri"/>
                <w:sz w:val="24"/>
                <w:szCs w:val="24"/>
              </w:rPr>
            </w:pPr>
            <w:r w:rsidRPr="00526CFD">
              <w:rPr>
                <w:rFonts w:ascii="Calibri" w:eastAsia="Calibri" w:hAnsi="Calibri" w:cs="Calibri"/>
                <w:sz w:val="24"/>
                <w:szCs w:val="24"/>
                <w:shd w:val="clear" w:color="auto" w:fill="FFFFFF"/>
              </w:rPr>
              <w:t xml:space="preserve">Část III., kap. A </w:t>
            </w:r>
            <w:proofErr w:type="spellStart"/>
            <w:r w:rsidRPr="00526CFD">
              <w:rPr>
                <w:rFonts w:ascii="Calibri" w:eastAsia="Calibri" w:hAnsi="Calibri" w:cs="Calibri"/>
                <w:sz w:val="24"/>
                <w:szCs w:val="24"/>
                <w:shd w:val="clear" w:color="auto" w:fill="FFFFFF"/>
              </w:rPr>
              <w:t>a</w:t>
            </w:r>
            <w:proofErr w:type="spellEnd"/>
            <w:r w:rsidRPr="00526CFD">
              <w:rPr>
                <w:rFonts w:ascii="Calibri" w:eastAsia="Calibri" w:hAnsi="Calibri" w:cs="Calibri"/>
                <w:sz w:val="24"/>
                <w:szCs w:val="24"/>
                <w:shd w:val="clear" w:color="auto" w:fill="FFFFFF"/>
              </w:rPr>
              <w:t xml:space="preserve"> kap. B</w:t>
            </w:r>
          </w:p>
        </w:tc>
        <w:tc>
          <w:tcPr>
            <w:tcW w:w="652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90" w:type="dxa"/>
            </w:tcMar>
          </w:tcPr>
          <w:p w14:paraId="0797CFC9" w14:textId="77777777" w:rsidR="00526CFD" w:rsidRPr="00526CFD" w:rsidRDefault="00526CFD" w:rsidP="00526CFD">
            <w:pPr>
              <w:pStyle w:val="Normln1"/>
              <w:widowControl w:val="0"/>
              <w:spacing w:after="0"/>
              <w:jc w:val="both"/>
              <w:rPr>
                <w:rFonts w:ascii="Calibri" w:eastAsia="Calibri" w:hAnsi="Calibri" w:cs="Calibri"/>
                <w:sz w:val="24"/>
                <w:szCs w:val="24"/>
              </w:rPr>
            </w:pPr>
            <w:r w:rsidRPr="00526CFD">
              <w:rPr>
                <w:rFonts w:ascii="Calibri" w:eastAsia="Calibri" w:hAnsi="Calibri" w:cs="Calibri"/>
                <w:sz w:val="24"/>
                <w:szCs w:val="24"/>
                <w:shd w:val="clear" w:color="auto" w:fill="FFFFFF"/>
              </w:rPr>
              <w:t>Zjednodušení předávání podkladů v různých formátech, specifikace formátů u jednotlivých podkladů, které jsou předkládány na MZ a které Příjemce uchovává.</w:t>
            </w:r>
          </w:p>
        </w:tc>
      </w:tr>
      <w:tr w:rsidR="00526CFD" w:rsidRPr="00526CFD" w14:paraId="02D28899" w14:textId="77777777" w:rsidTr="007349A3">
        <w:tc>
          <w:tcPr>
            <w:tcW w:w="2651"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90" w:type="dxa"/>
            </w:tcMar>
          </w:tcPr>
          <w:p w14:paraId="4F82AEF2" w14:textId="77777777" w:rsidR="00526CFD" w:rsidRPr="00526CFD" w:rsidRDefault="00526CFD" w:rsidP="00526CFD">
            <w:pPr>
              <w:pStyle w:val="Normln1"/>
              <w:widowControl w:val="0"/>
              <w:spacing w:after="0"/>
              <w:rPr>
                <w:rFonts w:ascii="Calibri" w:eastAsia="Calibri" w:hAnsi="Calibri" w:cs="Calibri"/>
                <w:sz w:val="24"/>
                <w:szCs w:val="24"/>
              </w:rPr>
            </w:pPr>
            <w:r w:rsidRPr="00526CFD">
              <w:rPr>
                <w:rFonts w:ascii="Calibri" w:eastAsia="Calibri" w:hAnsi="Calibri" w:cs="Calibri"/>
                <w:sz w:val="24"/>
                <w:szCs w:val="24"/>
                <w:shd w:val="clear" w:color="auto" w:fill="FFFFFF"/>
              </w:rPr>
              <w:t>Část III., kap. A, bod 2</w:t>
            </w:r>
          </w:p>
        </w:tc>
        <w:tc>
          <w:tcPr>
            <w:tcW w:w="652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90" w:type="dxa"/>
            </w:tcMar>
          </w:tcPr>
          <w:p w14:paraId="637E6416" w14:textId="77777777" w:rsidR="00526CFD" w:rsidRPr="00526CFD" w:rsidRDefault="00526CFD" w:rsidP="00526CFD">
            <w:pPr>
              <w:jc w:val="both"/>
              <w:rPr>
                <w:rFonts w:ascii="Calibri" w:eastAsia="Calibri" w:hAnsi="Calibri" w:cs="Calibri"/>
                <w:sz w:val="24"/>
                <w:szCs w:val="24"/>
                <w:lang w:val="cs-CZ"/>
              </w:rPr>
            </w:pPr>
            <w:r w:rsidRPr="00526CFD">
              <w:rPr>
                <w:rFonts w:ascii="Calibri" w:eastAsia="Calibri" w:hAnsi="Calibri" w:cs="Calibri"/>
                <w:sz w:val="24"/>
                <w:szCs w:val="24"/>
                <w:shd w:val="clear" w:color="auto" w:fill="FFFFFF"/>
                <w:lang w:val="cs-CZ"/>
              </w:rPr>
              <w:t>Nahrazení celého bodu informacemi ohledně posledního monitorovacího období, které se zkrátí v případě ukončení realizace požadovaných KA.</w:t>
            </w:r>
          </w:p>
        </w:tc>
      </w:tr>
      <w:tr w:rsidR="00526CFD" w:rsidRPr="00526CFD" w14:paraId="43C0D3B5" w14:textId="77777777" w:rsidTr="007349A3">
        <w:tc>
          <w:tcPr>
            <w:tcW w:w="2651"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90" w:type="dxa"/>
            </w:tcMar>
          </w:tcPr>
          <w:p w14:paraId="61CEF892" w14:textId="77777777" w:rsidR="00526CFD" w:rsidRPr="00526CFD" w:rsidRDefault="00526CFD" w:rsidP="00526CFD">
            <w:pPr>
              <w:pStyle w:val="Normln1"/>
              <w:widowControl w:val="0"/>
              <w:spacing w:after="0"/>
              <w:rPr>
                <w:rFonts w:ascii="Calibri" w:eastAsia="Calibri" w:hAnsi="Calibri" w:cs="Calibri"/>
                <w:sz w:val="24"/>
                <w:szCs w:val="24"/>
              </w:rPr>
            </w:pPr>
            <w:r w:rsidRPr="00526CFD">
              <w:rPr>
                <w:rFonts w:ascii="Calibri" w:eastAsia="Calibri" w:hAnsi="Calibri" w:cs="Calibri"/>
                <w:sz w:val="24"/>
                <w:szCs w:val="24"/>
                <w:shd w:val="clear" w:color="auto" w:fill="FFFFFF"/>
              </w:rPr>
              <w:t>Část III., kap. B, bod 1</w:t>
            </w:r>
          </w:p>
        </w:tc>
        <w:tc>
          <w:tcPr>
            <w:tcW w:w="652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90" w:type="dxa"/>
            </w:tcMar>
          </w:tcPr>
          <w:p w14:paraId="5C22F293" w14:textId="7A37E18A" w:rsidR="00526CFD" w:rsidRPr="00526CFD" w:rsidRDefault="00526CFD" w:rsidP="00526CFD">
            <w:pPr>
              <w:jc w:val="both"/>
              <w:rPr>
                <w:rFonts w:ascii="Calibri" w:eastAsia="Calibri" w:hAnsi="Calibri" w:cs="Calibri"/>
                <w:sz w:val="24"/>
                <w:szCs w:val="24"/>
                <w:lang w:val="cs-CZ"/>
              </w:rPr>
            </w:pPr>
            <w:r w:rsidRPr="00526CFD">
              <w:rPr>
                <w:rFonts w:ascii="Calibri" w:eastAsia="Calibri" w:hAnsi="Calibri" w:cs="Calibri"/>
                <w:sz w:val="24"/>
                <w:szCs w:val="24"/>
                <w:lang w:val="cs-CZ"/>
              </w:rPr>
              <w:t>Zjednodušení informací uváděných do Zprávy o realizaci projektu</w:t>
            </w:r>
            <w:r w:rsidR="00C6233E">
              <w:rPr>
                <w:rFonts w:ascii="Calibri" w:eastAsia="Calibri" w:hAnsi="Calibri" w:cs="Calibri"/>
                <w:sz w:val="24"/>
                <w:szCs w:val="24"/>
                <w:lang w:val="cs-CZ"/>
              </w:rPr>
              <w:t>.</w:t>
            </w:r>
          </w:p>
        </w:tc>
      </w:tr>
      <w:tr w:rsidR="00526CFD" w:rsidRPr="00526CFD" w14:paraId="28830ABA" w14:textId="77777777" w:rsidTr="007349A3">
        <w:tc>
          <w:tcPr>
            <w:tcW w:w="2651"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90" w:type="dxa"/>
            </w:tcMar>
          </w:tcPr>
          <w:p w14:paraId="5786AC95" w14:textId="77777777" w:rsidR="00526CFD" w:rsidRPr="00526CFD" w:rsidRDefault="00526CFD" w:rsidP="00526CFD">
            <w:pPr>
              <w:pStyle w:val="Normln1"/>
              <w:widowControl w:val="0"/>
              <w:spacing w:after="0"/>
              <w:rPr>
                <w:rFonts w:ascii="Calibri" w:eastAsia="Calibri" w:hAnsi="Calibri" w:cs="Calibri"/>
                <w:sz w:val="24"/>
                <w:szCs w:val="24"/>
              </w:rPr>
            </w:pPr>
            <w:r w:rsidRPr="00526CFD">
              <w:rPr>
                <w:rFonts w:ascii="Calibri" w:eastAsia="Calibri" w:hAnsi="Calibri" w:cs="Calibri"/>
                <w:sz w:val="24"/>
                <w:szCs w:val="24"/>
                <w:shd w:val="clear" w:color="auto" w:fill="FFFFFF"/>
              </w:rPr>
              <w:t>Část III., kap. B, bod 3</w:t>
            </w:r>
          </w:p>
        </w:tc>
        <w:tc>
          <w:tcPr>
            <w:tcW w:w="652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90" w:type="dxa"/>
            </w:tcMar>
          </w:tcPr>
          <w:p w14:paraId="6497A432" w14:textId="4CD45455" w:rsidR="00526CFD" w:rsidRPr="00526CFD" w:rsidRDefault="00526CFD" w:rsidP="00526CFD">
            <w:pPr>
              <w:pStyle w:val="Normln1"/>
              <w:widowControl w:val="0"/>
              <w:spacing w:after="0"/>
              <w:jc w:val="both"/>
              <w:rPr>
                <w:rFonts w:ascii="Calibri" w:eastAsia="Calibri" w:hAnsi="Calibri" w:cs="Calibri"/>
                <w:sz w:val="24"/>
                <w:szCs w:val="24"/>
              </w:rPr>
            </w:pPr>
            <w:r w:rsidRPr="00526CFD">
              <w:rPr>
                <w:rFonts w:ascii="Calibri" w:eastAsia="Calibri" w:hAnsi="Calibri" w:cs="Calibri"/>
                <w:sz w:val="24"/>
                <w:szCs w:val="24"/>
                <w:shd w:val="clear" w:color="auto" w:fill="FFFFFF"/>
              </w:rPr>
              <w:t>Doplnění informací k bankovním výpisům</w:t>
            </w:r>
            <w:r w:rsidR="00C6233E">
              <w:rPr>
                <w:rFonts w:ascii="Calibri" w:eastAsia="Calibri" w:hAnsi="Calibri" w:cs="Calibri"/>
                <w:sz w:val="24"/>
                <w:szCs w:val="24"/>
                <w:shd w:val="clear" w:color="auto" w:fill="FFFFFF"/>
              </w:rPr>
              <w:t>.</w:t>
            </w:r>
          </w:p>
        </w:tc>
      </w:tr>
      <w:tr w:rsidR="00526CFD" w:rsidRPr="00526CFD" w14:paraId="16644FCE" w14:textId="77777777" w:rsidTr="007349A3">
        <w:tc>
          <w:tcPr>
            <w:tcW w:w="2651"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90" w:type="dxa"/>
            </w:tcMar>
          </w:tcPr>
          <w:p w14:paraId="463F3F03" w14:textId="77777777" w:rsidR="00526CFD" w:rsidRPr="00526CFD" w:rsidRDefault="00526CFD" w:rsidP="00526CFD">
            <w:pPr>
              <w:pStyle w:val="Normln1"/>
              <w:widowControl w:val="0"/>
              <w:spacing w:after="0"/>
              <w:rPr>
                <w:rFonts w:ascii="Calibri" w:eastAsia="Calibri" w:hAnsi="Calibri" w:cs="Calibri"/>
                <w:sz w:val="24"/>
                <w:szCs w:val="24"/>
              </w:rPr>
            </w:pPr>
            <w:r w:rsidRPr="00526CFD">
              <w:rPr>
                <w:rFonts w:ascii="Calibri" w:eastAsia="Calibri" w:hAnsi="Calibri" w:cs="Calibri"/>
                <w:sz w:val="24"/>
                <w:szCs w:val="24"/>
                <w:shd w:val="clear" w:color="auto" w:fill="FFFFFF"/>
              </w:rPr>
              <w:t>Část III., kap. B, bod 4</w:t>
            </w:r>
          </w:p>
        </w:tc>
        <w:tc>
          <w:tcPr>
            <w:tcW w:w="652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90" w:type="dxa"/>
            </w:tcMar>
          </w:tcPr>
          <w:p w14:paraId="422812C1" w14:textId="789798EE" w:rsidR="00526CFD" w:rsidRPr="00526CFD" w:rsidRDefault="00C6233E" w:rsidP="00C6233E">
            <w:pPr>
              <w:pStyle w:val="Normln1"/>
              <w:widowControl w:val="0"/>
              <w:spacing w:after="0"/>
              <w:jc w:val="both"/>
              <w:rPr>
                <w:rFonts w:ascii="Calibri" w:eastAsia="Calibri" w:hAnsi="Calibri" w:cs="Calibri"/>
                <w:sz w:val="24"/>
                <w:szCs w:val="24"/>
              </w:rPr>
            </w:pPr>
            <w:r>
              <w:rPr>
                <w:rFonts w:ascii="Calibri" w:eastAsia="Calibri" w:hAnsi="Calibri" w:cs="Calibri"/>
                <w:sz w:val="24"/>
                <w:szCs w:val="24"/>
                <w:shd w:val="clear" w:color="auto" w:fill="FFFFFF"/>
              </w:rPr>
              <w:t>P</w:t>
            </w:r>
            <w:r w:rsidR="00526CFD" w:rsidRPr="00526CFD">
              <w:rPr>
                <w:rFonts w:ascii="Calibri" w:eastAsia="Calibri" w:hAnsi="Calibri" w:cs="Calibri"/>
                <w:sz w:val="24"/>
                <w:szCs w:val="24"/>
                <w:shd w:val="clear" w:color="auto" w:fill="FFFFFF"/>
              </w:rPr>
              <w:t>rezenční listiny se předkládají pouze za KA1 – KA9, vyjmenované náležitosti prezenčních listin, prezenční listiny uvedené v přílohách Metodického pokynu slouží pouze jako vzory – uveden další vzor prezenční listiny, možnost dodání čestného prohlášení</w:t>
            </w:r>
            <w:r>
              <w:rPr>
                <w:rFonts w:ascii="Calibri" w:eastAsia="Calibri" w:hAnsi="Calibri" w:cs="Calibri"/>
                <w:sz w:val="24"/>
                <w:szCs w:val="24"/>
                <w:shd w:val="clear" w:color="auto" w:fill="FFFFFF"/>
              </w:rPr>
              <w:t xml:space="preserve">. </w:t>
            </w:r>
            <w:r w:rsidR="00526CFD" w:rsidRPr="00526CFD">
              <w:rPr>
                <w:rFonts w:ascii="Calibri" w:eastAsia="Calibri" w:hAnsi="Calibri" w:cs="Calibri"/>
                <w:sz w:val="24"/>
                <w:szCs w:val="24"/>
              </w:rPr>
              <w:t>Zrušení povinnosti dodávat programy kurzů.</w:t>
            </w:r>
          </w:p>
        </w:tc>
      </w:tr>
      <w:tr w:rsidR="00526CFD" w:rsidRPr="00526CFD" w14:paraId="741CCAF5" w14:textId="77777777" w:rsidTr="007349A3">
        <w:tc>
          <w:tcPr>
            <w:tcW w:w="2651"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90" w:type="dxa"/>
            </w:tcMar>
          </w:tcPr>
          <w:p w14:paraId="21565593" w14:textId="77777777" w:rsidR="00526CFD" w:rsidRPr="00526CFD" w:rsidRDefault="00526CFD" w:rsidP="00526CFD">
            <w:pPr>
              <w:pStyle w:val="Normln1"/>
              <w:widowControl w:val="0"/>
              <w:spacing w:after="0"/>
              <w:rPr>
                <w:rFonts w:ascii="Calibri" w:eastAsia="Calibri" w:hAnsi="Calibri" w:cs="Calibri"/>
                <w:sz w:val="24"/>
                <w:szCs w:val="24"/>
                <w:shd w:val="clear" w:color="auto" w:fill="FFFFFF"/>
              </w:rPr>
            </w:pPr>
            <w:r w:rsidRPr="00526CFD">
              <w:rPr>
                <w:rFonts w:ascii="Calibri" w:eastAsia="Calibri" w:hAnsi="Calibri" w:cs="Calibri"/>
                <w:sz w:val="24"/>
                <w:szCs w:val="24"/>
                <w:shd w:val="clear" w:color="auto" w:fill="FFFFFF"/>
              </w:rPr>
              <w:t>Část III., kap. B, bod 5</w:t>
            </w:r>
          </w:p>
        </w:tc>
        <w:tc>
          <w:tcPr>
            <w:tcW w:w="652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90" w:type="dxa"/>
            </w:tcMar>
          </w:tcPr>
          <w:p w14:paraId="081DA3AD" w14:textId="77777777" w:rsidR="00526CFD" w:rsidRPr="00526CFD" w:rsidRDefault="00526CFD" w:rsidP="00526CFD">
            <w:pPr>
              <w:pStyle w:val="Normln1"/>
              <w:widowControl w:val="0"/>
              <w:spacing w:after="0"/>
              <w:jc w:val="both"/>
              <w:rPr>
                <w:rFonts w:ascii="Calibri" w:eastAsia="Calibri" w:hAnsi="Calibri" w:cs="Calibri"/>
                <w:sz w:val="24"/>
                <w:szCs w:val="24"/>
                <w:shd w:val="clear" w:color="auto" w:fill="FFFFFF"/>
              </w:rPr>
            </w:pPr>
            <w:r w:rsidRPr="00526CFD">
              <w:rPr>
                <w:rFonts w:ascii="Calibri" w:eastAsia="Calibri" w:hAnsi="Calibri" w:cs="Calibri"/>
                <w:sz w:val="24"/>
                <w:szCs w:val="24"/>
                <w:shd w:val="clear" w:color="auto" w:fill="FFFFFF"/>
              </w:rPr>
              <w:t>Možnost dodat i Interní fakturaci vzdělávací aktivity.</w:t>
            </w:r>
          </w:p>
        </w:tc>
      </w:tr>
      <w:tr w:rsidR="00526CFD" w14:paraId="603276A2" w14:textId="77777777" w:rsidTr="007349A3">
        <w:tc>
          <w:tcPr>
            <w:tcW w:w="2651"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90" w:type="dxa"/>
            </w:tcMar>
          </w:tcPr>
          <w:p w14:paraId="0FA3122B" w14:textId="77777777" w:rsidR="00526CFD" w:rsidRPr="00526CFD" w:rsidRDefault="00526CFD" w:rsidP="00526CFD">
            <w:pPr>
              <w:pStyle w:val="Normln1"/>
              <w:widowControl w:val="0"/>
              <w:spacing w:after="0"/>
              <w:rPr>
                <w:rFonts w:ascii="Calibri" w:eastAsia="Calibri" w:hAnsi="Calibri" w:cs="Calibri"/>
                <w:sz w:val="24"/>
                <w:szCs w:val="24"/>
                <w:shd w:val="clear" w:color="auto" w:fill="FFFFFF"/>
              </w:rPr>
            </w:pPr>
            <w:r w:rsidRPr="00526CFD">
              <w:rPr>
                <w:rFonts w:ascii="Calibri" w:eastAsia="Calibri" w:hAnsi="Calibri" w:cs="Calibri"/>
                <w:sz w:val="24"/>
                <w:szCs w:val="24"/>
                <w:shd w:val="clear" w:color="auto" w:fill="FFFFFF"/>
              </w:rPr>
              <w:t>Část III., kap. B, bod 7</w:t>
            </w:r>
          </w:p>
        </w:tc>
        <w:tc>
          <w:tcPr>
            <w:tcW w:w="652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90" w:type="dxa"/>
            </w:tcMar>
          </w:tcPr>
          <w:p w14:paraId="7DFCA427" w14:textId="77777777" w:rsidR="00526CFD" w:rsidRPr="002F4903" w:rsidRDefault="00526CFD" w:rsidP="00526CFD">
            <w:pPr>
              <w:pStyle w:val="Normln1"/>
              <w:widowControl w:val="0"/>
              <w:spacing w:after="0"/>
              <w:jc w:val="both"/>
              <w:rPr>
                <w:rFonts w:ascii="Calibri" w:eastAsia="Calibri" w:hAnsi="Calibri" w:cs="Calibri"/>
                <w:sz w:val="24"/>
                <w:szCs w:val="24"/>
                <w:shd w:val="clear" w:color="auto" w:fill="FFFFFF"/>
              </w:rPr>
            </w:pPr>
            <w:r w:rsidRPr="00526CFD">
              <w:rPr>
                <w:rFonts w:ascii="Calibri" w:eastAsia="Calibri" w:hAnsi="Calibri" w:cs="Calibri"/>
                <w:sz w:val="24"/>
                <w:szCs w:val="24"/>
                <w:shd w:val="clear" w:color="auto" w:fill="FFFFFF"/>
              </w:rPr>
              <w:t>Nový bod – výkazy účasti, které Příjemce průběžně nedokládá, ale uchovává je pro případnou kontrolu.</w:t>
            </w:r>
            <w:r w:rsidRPr="002F4903">
              <w:rPr>
                <w:rFonts w:ascii="Calibri" w:eastAsia="Calibri" w:hAnsi="Calibri" w:cs="Calibri"/>
                <w:sz w:val="24"/>
                <w:szCs w:val="24"/>
                <w:shd w:val="clear" w:color="auto" w:fill="FFFFFF"/>
              </w:rPr>
              <w:t xml:space="preserve"> </w:t>
            </w:r>
          </w:p>
        </w:tc>
      </w:tr>
    </w:tbl>
    <w:p w14:paraId="1AE9D919" w14:textId="6A679EBD" w:rsidR="00942744" w:rsidRDefault="00942744"/>
    <w:p w14:paraId="5AF96CAE" w14:textId="1B70B220" w:rsidR="00486972" w:rsidRDefault="00486972" w:rsidP="00486972">
      <w:pPr>
        <w:pBdr>
          <w:top w:val="nil"/>
          <w:left w:val="nil"/>
          <w:bottom w:val="nil"/>
          <w:right w:val="nil"/>
          <w:between w:val="nil"/>
        </w:pBdr>
        <w:spacing w:after="200"/>
        <w:jc w:val="both"/>
        <w:rPr>
          <w:rFonts w:asciiTheme="minorHAnsi" w:eastAsia="Times New Roman" w:hAnsiTheme="minorHAnsi" w:cs="Times New Roman"/>
        </w:rPr>
      </w:pPr>
      <w:r w:rsidRPr="00ED1CB8">
        <w:rPr>
          <w:rFonts w:asciiTheme="minorHAnsi" w:eastAsia="Times New Roman" w:hAnsiTheme="minorHAnsi" w:cs="Times New Roman"/>
        </w:rPr>
        <w:t xml:space="preserve">Verze č. 2.0 tohoto Metodického pokynu je vydána k </w:t>
      </w:r>
      <w:r w:rsidRPr="00110E3C">
        <w:rPr>
          <w:rFonts w:asciiTheme="minorHAnsi" w:eastAsia="Times New Roman" w:hAnsiTheme="minorHAnsi" w:cs="Times New Roman"/>
        </w:rPr>
        <w:t xml:space="preserve">datu </w:t>
      </w:r>
      <w:r w:rsidR="00D364E2" w:rsidRPr="00110E3C">
        <w:rPr>
          <w:rFonts w:asciiTheme="minorHAnsi" w:eastAsia="Times New Roman" w:hAnsiTheme="minorHAnsi" w:cs="Times New Roman"/>
        </w:rPr>
        <w:t>2</w:t>
      </w:r>
      <w:r w:rsidR="00723F5A" w:rsidRPr="00110E3C">
        <w:rPr>
          <w:rFonts w:asciiTheme="minorHAnsi" w:eastAsia="Times New Roman" w:hAnsiTheme="minorHAnsi" w:cs="Times New Roman"/>
        </w:rPr>
        <w:t>3</w:t>
      </w:r>
      <w:r w:rsidRPr="00110E3C">
        <w:rPr>
          <w:rFonts w:asciiTheme="minorHAnsi" w:eastAsia="Times New Roman" w:hAnsiTheme="minorHAnsi" w:cs="Times New Roman"/>
        </w:rPr>
        <w:t>. 3. 2020, avšak</w:t>
      </w:r>
      <w:r w:rsidRPr="00ED1CB8">
        <w:rPr>
          <w:rFonts w:asciiTheme="minorHAnsi" w:eastAsia="Times New Roman" w:hAnsiTheme="minorHAnsi" w:cs="Times New Roman"/>
        </w:rPr>
        <w:t xml:space="preserve"> změny </w:t>
      </w:r>
      <w:r w:rsidR="00D364E2">
        <w:rPr>
          <w:rFonts w:asciiTheme="minorHAnsi" w:eastAsia="Times New Roman" w:hAnsiTheme="minorHAnsi" w:cs="Times New Roman"/>
        </w:rPr>
        <w:t xml:space="preserve">se promítají </w:t>
      </w:r>
      <w:r w:rsidRPr="00ED1CB8">
        <w:rPr>
          <w:rFonts w:asciiTheme="minorHAnsi" w:eastAsia="Times New Roman" w:hAnsiTheme="minorHAnsi" w:cs="Times New Roman"/>
        </w:rPr>
        <w:t>již</w:t>
      </w:r>
      <w:r w:rsidR="00D364E2">
        <w:rPr>
          <w:rFonts w:asciiTheme="minorHAnsi" w:eastAsia="Times New Roman" w:hAnsiTheme="minorHAnsi" w:cs="Times New Roman"/>
        </w:rPr>
        <w:t xml:space="preserve"> do období</w:t>
      </w:r>
      <w:r w:rsidRPr="00ED1CB8">
        <w:rPr>
          <w:rFonts w:asciiTheme="minorHAnsi" w:eastAsia="Times New Roman" w:hAnsiTheme="minorHAnsi" w:cs="Times New Roman"/>
        </w:rPr>
        <w:t xml:space="preserve"> od 1. 6. 2018. Cílem revize je zejména zjednodušení předkládaných podkladů za monitorovací období a zjednodušení či zpřesnění dalších požadavků, a to především z důvodu zajištění souladu s Výzvou k předkládání žádostí o dotaci v Programu specializačního vzdělávání </w:t>
      </w:r>
      <w:r w:rsidRPr="00ED1CB8">
        <w:rPr>
          <w:rFonts w:asciiTheme="minorHAnsi" w:eastAsia="Times New Roman" w:hAnsiTheme="minorHAnsi" w:cs="Times New Roman"/>
        </w:rPr>
        <w:lastRenderedPageBreak/>
        <w:t>v oboru dětská neurologie, která byla vyhlášena dne 19. února 2020</w:t>
      </w:r>
      <w:r>
        <w:rPr>
          <w:rFonts w:asciiTheme="minorHAnsi" w:eastAsia="Times New Roman" w:hAnsiTheme="minorHAnsi" w:cs="Times New Roman"/>
        </w:rPr>
        <w:t xml:space="preserve"> a</w:t>
      </w:r>
      <w:r w:rsidRPr="00ED1CB8">
        <w:rPr>
          <w:rFonts w:asciiTheme="minorHAnsi" w:eastAsia="Times New Roman" w:hAnsiTheme="minorHAnsi" w:cs="Times New Roman"/>
        </w:rPr>
        <w:t xml:space="preserve"> jejímž cílem je poskytnout dotaci</w:t>
      </w:r>
      <w:r>
        <w:rPr>
          <w:rFonts w:asciiTheme="minorHAnsi" w:eastAsia="Times New Roman" w:hAnsiTheme="minorHAnsi" w:cs="Times New Roman"/>
        </w:rPr>
        <w:t xml:space="preserve"> na specializační vzdělávání</w:t>
      </w:r>
      <w:r w:rsidRPr="00ED1CB8">
        <w:rPr>
          <w:rFonts w:asciiTheme="minorHAnsi" w:eastAsia="Times New Roman" w:hAnsiTheme="minorHAnsi" w:cs="Times New Roman"/>
        </w:rPr>
        <w:t xml:space="preserve"> dalším lékařům.</w:t>
      </w:r>
    </w:p>
    <w:p w14:paraId="22765CB6" w14:textId="0FE057C1" w:rsidR="003F066A" w:rsidRPr="00ED1CB8" w:rsidRDefault="003F066A" w:rsidP="003F066A">
      <w:pPr>
        <w:pBdr>
          <w:top w:val="nil"/>
          <w:left w:val="nil"/>
          <w:bottom w:val="nil"/>
          <w:right w:val="nil"/>
          <w:between w:val="nil"/>
        </w:pBdr>
        <w:spacing w:after="200"/>
        <w:jc w:val="both"/>
        <w:rPr>
          <w:rFonts w:asciiTheme="minorHAnsi" w:eastAsia="Times New Roman" w:hAnsiTheme="minorHAnsi" w:cs="Times New Roman"/>
        </w:rPr>
      </w:pPr>
      <w:r>
        <w:rPr>
          <w:rFonts w:asciiTheme="minorHAnsi" w:eastAsia="Times New Roman" w:hAnsiTheme="minorHAnsi" w:cs="Times New Roman"/>
        </w:rPr>
        <w:t>Příjemci</w:t>
      </w:r>
      <w:r w:rsidRPr="00ED1CB8">
        <w:rPr>
          <w:rFonts w:asciiTheme="minorHAnsi" w:eastAsia="Times New Roman" w:hAnsiTheme="minorHAnsi" w:cs="Times New Roman"/>
        </w:rPr>
        <w:t xml:space="preserve"> mají možnost využívat </w:t>
      </w:r>
      <w:r>
        <w:rPr>
          <w:rFonts w:asciiTheme="minorHAnsi" w:eastAsia="Times New Roman" w:hAnsiTheme="minorHAnsi" w:cs="Times New Roman"/>
        </w:rPr>
        <w:t xml:space="preserve">všechny </w:t>
      </w:r>
      <w:r w:rsidRPr="00ED1CB8">
        <w:rPr>
          <w:rFonts w:asciiTheme="minorHAnsi" w:eastAsia="Times New Roman" w:hAnsiTheme="minorHAnsi" w:cs="Times New Roman"/>
        </w:rPr>
        <w:t>formuláře</w:t>
      </w:r>
      <w:r>
        <w:rPr>
          <w:rFonts w:asciiTheme="minorHAnsi" w:eastAsia="Times New Roman" w:hAnsiTheme="minorHAnsi" w:cs="Times New Roman"/>
        </w:rPr>
        <w:t>, které byly přílohou</w:t>
      </w:r>
      <w:r w:rsidRPr="00ED1CB8">
        <w:rPr>
          <w:rFonts w:asciiTheme="minorHAnsi" w:eastAsia="Times New Roman" w:hAnsiTheme="minorHAnsi" w:cs="Times New Roman"/>
        </w:rPr>
        <w:t xml:space="preserve"> </w:t>
      </w:r>
      <w:r>
        <w:rPr>
          <w:rFonts w:asciiTheme="minorHAnsi" w:eastAsia="Times New Roman" w:hAnsiTheme="minorHAnsi" w:cs="Times New Roman"/>
        </w:rPr>
        <w:t xml:space="preserve">verze 1.0 Metodického pokynu </w:t>
      </w:r>
      <w:r w:rsidRPr="00ED1CB8">
        <w:rPr>
          <w:rFonts w:asciiTheme="minorHAnsi" w:eastAsia="Times New Roman" w:hAnsiTheme="minorHAnsi" w:cs="Times New Roman"/>
        </w:rPr>
        <w:t xml:space="preserve">(např. </w:t>
      </w:r>
      <w:r>
        <w:rPr>
          <w:rFonts w:asciiTheme="minorHAnsi" w:eastAsia="Times New Roman" w:hAnsiTheme="minorHAnsi" w:cs="Times New Roman"/>
        </w:rPr>
        <w:t>prezenční listiny aj.</w:t>
      </w:r>
      <w:r w:rsidRPr="00ED1CB8">
        <w:rPr>
          <w:rFonts w:asciiTheme="minorHAnsi" w:eastAsia="Times New Roman" w:hAnsiTheme="minorHAnsi" w:cs="Times New Roman"/>
        </w:rPr>
        <w:t xml:space="preserve">), ale také </w:t>
      </w:r>
      <w:r>
        <w:rPr>
          <w:rFonts w:asciiTheme="minorHAnsi" w:eastAsia="Times New Roman" w:hAnsiTheme="minorHAnsi" w:cs="Times New Roman"/>
        </w:rPr>
        <w:t xml:space="preserve">nové formuláře dle této verze Metodického pokynu (např. prezenční listina – verze 2.0) či </w:t>
      </w:r>
      <w:r w:rsidRPr="00ED1CB8">
        <w:rPr>
          <w:rFonts w:asciiTheme="minorHAnsi" w:eastAsia="Times New Roman" w:hAnsiTheme="minorHAnsi" w:cs="Times New Roman"/>
        </w:rPr>
        <w:t>vlastní formuláře, pokud budou obsahovat náležitosti specifikované v tomto Metodickém pokynu. </w:t>
      </w:r>
    </w:p>
    <w:p w14:paraId="6F34E31B" w14:textId="77777777" w:rsidR="00486972" w:rsidRDefault="00486972">
      <w:pPr>
        <w:rPr>
          <w:rFonts w:asciiTheme="minorHAnsi" w:eastAsia="Times New Roman" w:hAnsiTheme="minorHAnsi" w:cs="Times New Roman"/>
          <w:b/>
          <w:color w:val="0070C0"/>
          <w:sz w:val="32"/>
          <w:szCs w:val="32"/>
        </w:rPr>
      </w:pPr>
    </w:p>
    <w:p w14:paraId="511A057E" w14:textId="77777777" w:rsidR="007349A3" w:rsidRDefault="007349A3">
      <w:pPr>
        <w:rPr>
          <w:rFonts w:asciiTheme="minorHAnsi" w:hAnsiTheme="minorHAnsi"/>
          <w:b/>
          <w:color w:val="0070C0"/>
          <w:sz w:val="32"/>
          <w:szCs w:val="32"/>
        </w:rPr>
      </w:pPr>
      <w:bookmarkStart w:id="0" w:name="_1fob9te"/>
      <w:bookmarkStart w:id="1" w:name="_Toc34659561"/>
      <w:bookmarkEnd w:id="0"/>
      <w:r>
        <w:br w:type="page"/>
      </w:r>
    </w:p>
    <w:p w14:paraId="183A4B88" w14:textId="5404A425" w:rsidR="00942744" w:rsidRDefault="007211E8">
      <w:pPr>
        <w:pStyle w:val="Nadpis1"/>
        <w:numPr>
          <w:ilvl w:val="0"/>
          <w:numId w:val="9"/>
        </w:numPr>
      </w:pPr>
      <w:r>
        <w:lastRenderedPageBreak/>
        <w:t>Obecné informace</w:t>
      </w:r>
      <w:bookmarkEnd w:id="1"/>
    </w:p>
    <w:p w14:paraId="0F7063C5" w14:textId="77777777" w:rsidR="00942744" w:rsidRDefault="00942744">
      <w:pPr>
        <w:spacing w:line="240" w:lineRule="auto"/>
      </w:pPr>
    </w:p>
    <w:p w14:paraId="65B03B5B" w14:textId="77777777" w:rsidR="00942744" w:rsidRDefault="007211E8">
      <w:pPr>
        <w:pStyle w:val="Napdiss2"/>
        <w:numPr>
          <w:ilvl w:val="0"/>
          <w:numId w:val="8"/>
        </w:numPr>
        <w:ind w:left="924" w:hanging="567"/>
      </w:pPr>
      <w:bookmarkStart w:id="2" w:name="_3znysh7"/>
      <w:bookmarkStart w:id="3" w:name="_Toc34659562"/>
      <w:bookmarkEnd w:id="2"/>
      <w:r>
        <w:t>Úvod</w:t>
      </w:r>
      <w:bookmarkEnd w:id="3"/>
    </w:p>
    <w:p w14:paraId="5B5FDA00" w14:textId="77777777" w:rsidR="00942744" w:rsidRDefault="00942744">
      <w:pPr>
        <w:pStyle w:val="Bezmezer"/>
      </w:pPr>
    </w:p>
    <w:p w14:paraId="073B1270" w14:textId="77777777" w:rsidR="00942744" w:rsidRDefault="007211E8">
      <w:pPr>
        <w:pStyle w:val="Odstavecseseznamem"/>
        <w:widowControl w:val="0"/>
        <w:numPr>
          <w:ilvl w:val="0"/>
          <w:numId w:val="7"/>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 xml:space="preserve">Ministerstvo zdravotnictví České republiky (dále jen „MZ”) stanovuje Metodický pokyn pro vzdělávací pracoviště (Realizace kurzů a praxí), který upravuje pravidla a podmínky způsobilých výdajů, jejich dokladování, ohlašování změn, publicity, financování a další povinnosti vzdělávacích pracovišť pro realizaci kurzů a praxí (dále jen „Metodický pokyn“) projektu „Specializační vzdělávání v oboru dětská neurologie“ (dále jen „Projekt“), registrační číslo Projektu: CZ.03.2.63/0.0/0.0/15_039/0008219. </w:t>
      </w:r>
    </w:p>
    <w:p w14:paraId="003EFD67" w14:textId="77777777" w:rsidR="00942744" w:rsidRDefault="007211E8">
      <w:pPr>
        <w:pStyle w:val="Odstavecseseznamem"/>
        <w:widowControl w:val="0"/>
        <w:numPr>
          <w:ilvl w:val="0"/>
          <w:numId w:val="7"/>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 xml:space="preserve">Projekt je realizovaný MZ v rámci Operačního programu Zaměstnanost (dále jen „OPZ“), prioritní osa – Sociální začleňování a boj s chudobou, a je financován Evropskou unií z Evropského sociálního fondu a ze státního rozpočtu ČR. </w:t>
      </w:r>
    </w:p>
    <w:p w14:paraId="0B8BFA10" w14:textId="77777777" w:rsidR="00942744" w:rsidRDefault="007211E8">
      <w:pPr>
        <w:pStyle w:val="Odstavecseseznamem"/>
        <w:widowControl w:val="0"/>
        <w:numPr>
          <w:ilvl w:val="0"/>
          <w:numId w:val="7"/>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Metodický pokyn je určen pro organizace oprávněné pro účastníky Projektu uskutečňovat vzdělávací program v oboru dětská neurologie: FN Motol, FN Brno, Thomayerova nemocnice, FN Ostrava a Institut postgraduálního vzdělávání ve zdravotnictví (dále souhrnně jen „Příjemce“, případně „Vzdělávací pracoviště“).</w:t>
      </w:r>
    </w:p>
    <w:p w14:paraId="140500A6" w14:textId="77777777" w:rsidR="00942744" w:rsidRDefault="007211E8">
      <w:pPr>
        <w:pStyle w:val="Odstavecseseznamem"/>
        <w:widowControl w:val="0"/>
        <w:numPr>
          <w:ilvl w:val="0"/>
          <w:numId w:val="7"/>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 xml:space="preserve">Financování Příjemců jakožto příspěvkových organizací MZ probíhá formou účelové dotace poskytnuté v souladu se zákonem č. 218/2000 Sb., o rozpočtových pravidlech a o změně některých souvisejících zákonů, ve znění pozdějších předpisů (dále jen „Rozpočtová pravidla“) na základě Rozhodnutí o poskytnutí dotace (dále jen „Rozhodnutí“). </w:t>
      </w:r>
    </w:p>
    <w:p w14:paraId="1EF69113" w14:textId="77777777" w:rsidR="00942744" w:rsidRDefault="007211E8">
      <w:pPr>
        <w:pStyle w:val="Odstavecseseznamem"/>
        <w:widowControl w:val="0"/>
        <w:numPr>
          <w:ilvl w:val="0"/>
          <w:numId w:val="7"/>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 xml:space="preserve">Účastníkem Projektu jsou vybraní lékaři, kteří jsou do vzdělávacích aktivit zapojeni na základě požadavku MZ jakožto poskytovatele dotace (dále jen „účastníci”). </w:t>
      </w:r>
    </w:p>
    <w:p w14:paraId="74285A02" w14:textId="77777777" w:rsidR="00942744" w:rsidRDefault="007211E8">
      <w:pPr>
        <w:pStyle w:val="Odstavecseseznamem"/>
        <w:widowControl w:val="0"/>
        <w:numPr>
          <w:ilvl w:val="0"/>
          <w:numId w:val="7"/>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 xml:space="preserve">Účastníci se dle svých objektivních vzdělávacích potřeb účastní </w:t>
      </w:r>
      <w:r>
        <w:rPr>
          <w:rFonts w:asciiTheme="minorHAnsi" w:eastAsia="Times New Roman" w:hAnsiTheme="minorHAnsi" w:cs="Times New Roman"/>
          <w:b/>
        </w:rPr>
        <w:t>klíčových aktivit</w:t>
      </w:r>
      <w:r>
        <w:rPr>
          <w:rFonts w:asciiTheme="minorHAnsi" w:eastAsia="Times New Roman" w:hAnsiTheme="minorHAnsi" w:cs="Times New Roman"/>
        </w:rPr>
        <w:t xml:space="preserve"> (dále také jen „KA”) Projektu, tj. povinných a doporučených teoretických kurzů a dále absolvují povinnou praxi a přistupují k atestační zkoušce, dle podmínek vzdělávacího programu oboru dětská neurologie, dle zákona č. 95/2004 Sb., o podmínkách získávání a uznávání odborné způsobilosti a specializované způsobilosti k výkonu zdravotnického povolání lékaře, zubního lékaře a farmaceuta, ve znění pozdějších předpisů (dále jen „zákon č. 95/2004 Sb.“), resp. v souladu s kapitolou Zapojení účastníků do klíčových aktivit. </w:t>
      </w:r>
    </w:p>
    <w:p w14:paraId="7D4749A9" w14:textId="77777777" w:rsidR="00942744" w:rsidRDefault="007211E8">
      <w:pPr>
        <w:pStyle w:val="Odstavecseseznamem"/>
        <w:widowControl w:val="0"/>
        <w:numPr>
          <w:ilvl w:val="0"/>
          <w:numId w:val="7"/>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Konkrétně se jedná o tyto klíčové aktivity:</w:t>
      </w:r>
    </w:p>
    <w:p w14:paraId="32E1C1AB" w14:textId="77777777" w:rsidR="00942744" w:rsidRDefault="007211E8">
      <w:pPr>
        <w:pStyle w:val="Odstavecseseznamem"/>
        <w:widowControl w:val="0"/>
        <w:numPr>
          <w:ilvl w:val="0"/>
          <w:numId w:val="11"/>
        </w:numPr>
        <w:spacing w:after="200"/>
        <w:ind w:left="1134" w:hanging="567"/>
        <w:rPr>
          <w:rFonts w:asciiTheme="minorHAnsi" w:eastAsia="Times New Roman" w:hAnsiTheme="minorHAnsi" w:cs="Times New Roman"/>
        </w:rPr>
      </w:pPr>
      <w:r>
        <w:rPr>
          <w:rFonts w:asciiTheme="minorHAnsi" w:eastAsia="Times New Roman" w:hAnsiTheme="minorHAnsi" w:cs="Times New Roman"/>
        </w:rPr>
        <w:t>KA1 – Lékařská první pomoc (kurz)</w:t>
      </w:r>
    </w:p>
    <w:p w14:paraId="19CF9EE8" w14:textId="77777777" w:rsidR="00942744" w:rsidRDefault="007211E8">
      <w:pPr>
        <w:pStyle w:val="Odstavecseseznamem"/>
        <w:widowControl w:val="0"/>
        <w:numPr>
          <w:ilvl w:val="0"/>
          <w:numId w:val="11"/>
        </w:numPr>
        <w:spacing w:after="200"/>
        <w:ind w:left="1134" w:hanging="567"/>
        <w:rPr>
          <w:rFonts w:asciiTheme="minorHAnsi" w:eastAsia="Times New Roman" w:hAnsiTheme="minorHAnsi" w:cs="Times New Roman"/>
        </w:rPr>
      </w:pPr>
      <w:r>
        <w:rPr>
          <w:rFonts w:asciiTheme="minorHAnsi" w:eastAsia="Times New Roman" w:hAnsiTheme="minorHAnsi" w:cs="Times New Roman"/>
        </w:rPr>
        <w:t>KA2 – Základy zdravotnické legislativy, etiky a komunikace (kurz)</w:t>
      </w:r>
    </w:p>
    <w:p w14:paraId="4D0FDF54" w14:textId="77777777" w:rsidR="00942744" w:rsidRDefault="007211E8">
      <w:pPr>
        <w:pStyle w:val="Odstavecseseznamem"/>
        <w:widowControl w:val="0"/>
        <w:numPr>
          <w:ilvl w:val="0"/>
          <w:numId w:val="11"/>
        </w:numPr>
        <w:spacing w:after="200"/>
        <w:ind w:left="1134" w:hanging="567"/>
        <w:rPr>
          <w:rFonts w:asciiTheme="minorHAnsi" w:eastAsia="Times New Roman" w:hAnsiTheme="minorHAnsi" w:cs="Times New Roman"/>
        </w:rPr>
      </w:pPr>
      <w:r>
        <w:rPr>
          <w:rFonts w:asciiTheme="minorHAnsi" w:eastAsia="Times New Roman" w:hAnsiTheme="minorHAnsi" w:cs="Times New Roman"/>
        </w:rPr>
        <w:t>KA3 – Prevence škodlivého užívání návykových látek (NL) a léčba závislostí (kurz)</w:t>
      </w:r>
    </w:p>
    <w:p w14:paraId="74F78A6E" w14:textId="77777777" w:rsidR="00942744" w:rsidRDefault="007211E8">
      <w:pPr>
        <w:pStyle w:val="Odstavecseseznamem"/>
        <w:widowControl w:val="0"/>
        <w:numPr>
          <w:ilvl w:val="0"/>
          <w:numId w:val="11"/>
        </w:numPr>
        <w:spacing w:after="200"/>
        <w:ind w:left="1134" w:hanging="567"/>
        <w:rPr>
          <w:rFonts w:asciiTheme="minorHAnsi" w:eastAsia="Times New Roman" w:hAnsiTheme="minorHAnsi" w:cs="Times New Roman"/>
        </w:rPr>
      </w:pPr>
      <w:r>
        <w:rPr>
          <w:rFonts w:asciiTheme="minorHAnsi" w:eastAsia="Times New Roman" w:hAnsiTheme="minorHAnsi" w:cs="Times New Roman"/>
        </w:rPr>
        <w:t>KA4 – Radiační ochrana (kurz)</w:t>
      </w:r>
    </w:p>
    <w:p w14:paraId="578693E6" w14:textId="77777777" w:rsidR="00942744" w:rsidRDefault="007211E8">
      <w:pPr>
        <w:pStyle w:val="Odstavecseseznamem"/>
        <w:widowControl w:val="0"/>
        <w:numPr>
          <w:ilvl w:val="0"/>
          <w:numId w:val="11"/>
        </w:numPr>
        <w:spacing w:after="200"/>
        <w:ind w:left="1134" w:hanging="567"/>
        <w:rPr>
          <w:rFonts w:asciiTheme="minorHAnsi" w:eastAsia="Times New Roman" w:hAnsiTheme="minorHAnsi" w:cs="Times New Roman"/>
        </w:rPr>
      </w:pPr>
      <w:r>
        <w:rPr>
          <w:rFonts w:asciiTheme="minorHAnsi" w:eastAsia="Times New Roman" w:hAnsiTheme="minorHAnsi" w:cs="Times New Roman"/>
        </w:rPr>
        <w:t>KA5 – Novorozenecká a vývojová neurologie (kurz)</w:t>
      </w:r>
    </w:p>
    <w:p w14:paraId="60E4B4CC" w14:textId="77777777" w:rsidR="00942744" w:rsidRDefault="007211E8">
      <w:pPr>
        <w:pStyle w:val="Odstavecseseznamem"/>
        <w:widowControl w:val="0"/>
        <w:numPr>
          <w:ilvl w:val="0"/>
          <w:numId w:val="11"/>
        </w:numPr>
        <w:spacing w:after="200"/>
        <w:ind w:left="1134" w:hanging="567"/>
        <w:rPr>
          <w:rFonts w:asciiTheme="minorHAnsi" w:eastAsia="Times New Roman" w:hAnsiTheme="minorHAnsi" w:cs="Times New Roman"/>
        </w:rPr>
      </w:pPr>
      <w:r>
        <w:rPr>
          <w:rFonts w:asciiTheme="minorHAnsi" w:eastAsia="Times New Roman" w:hAnsiTheme="minorHAnsi" w:cs="Times New Roman"/>
        </w:rPr>
        <w:t>KA6 – Nervosvalová a metabolická onemocnění (kurz)</w:t>
      </w:r>
    </w:p>
    <w:p w14:paraId="40F8D292" w14:textId="77777777" w:rsidR="00942744" w:rsidRDefault="007211E8">
      <w:pPr>
        <w:pStyle w:val="Odstavecseseznamem"/>
        <w:widowControl w:val="0"/>
        <w:numPr>
          <w:ilvl w:val="0"/>
          <w:numId w:val="11"/>
        </w:numPr>
        <w:spacing w:after="200"/>
        <w:ind w:left="1134" w:hanging="567"/>
        <w:rPr>
          <w:rFonts w:asciiTheme="minorHAnsi" w:eastAsia="Times New Roman" w:hAnsiTheme="minorHAnsi" w:cs="Times New Roman"/>
        </w:rPr>
      </w:pPr>
      <w:r>
        <w:rPr>
          <w:rFonts w:asciiTheme="minorHAnsi" w:eastAsia="Times New Roman" w:hAnsiTheme="minorHAnsi" w:cs="Times New Roman"/>
        </w:rPr>
        <w:t xml:space="preserve">KA7 – </w:t>
      </w:r>
      <w:proofErr w:type="spellStart"/>
      <w:r>
        <w:rPr>
          <w:rFonts w:asciiTheme="minorHAnsi" w:eastAsia="Times New Roman" w:hAnsiTheme="minorHAnsi" w:cs="Times New Roman"/>
        </w:rPr>
        <w:t>Epileptologie</w:t>
      </w:r>
      <w:proofErr w:type="spellEnd"/>
      <w:r>
        <w:rPr>
          <w:rFonts w:asciiTheme="minorHAnsi" w:eastAsia="Times New Roman" w:hAnsiTheme="minorHAnsi" w:cs="Times New Roman"/>
        </w:rPr>
        <w:t>, poruchy spánku, zobrazovací metody (kurz)</w:t>
      </w:r>
    </w:p>
    <w:p w14:paraId="24B30A6D" w14:textId="77777777" w:rsidR="00942744" w:rsidRDefault="007211E8">
      <w:pPr>
        <w:pStyle w:val="Odstavecseseznamem"/>
        <w:widowControl w:val="0"/>
        <w:numPr>
          <w:ilvl w:val="0"/>
          <w:numId w:val="11"/>
        </w:numPr>
        <w:spacing w:after="200"/>
        <w:ind w:left="1134" w:hanging="567"/>
        <w:rPr>
          <w:rFonts w:asciiTheme="minorHAnsi" w:eastAsia="Times New Roman" w:hAnsiTheme="minorHAnsi" w:cs="Times New Roman"/>
        </w:rPr>
      </w:pPr>
      <w:r>
        <w:rPr>
          <w:rFonts w:asciiTheme="minorHAnsi" w:eastAsia="Times New Roman" w:hAnsiTheme="minorHAnsi" w:cs="Times New Roman"/>
        </w:rPr>
        <w:t xml:space="preserve">KA8 – </w:t>
      </w:r>
      <w:proofErr w:type="spellStart"/>
      <w:r>
        <w:rPr>
          <w:rFonts w:asciiTheme="minorHAnsi" w:eastAsia="Times New Roman" w:hAnsiTheme="minorHAnsi" w:cs="Times New Roman"/>
        </w:rPr>
        <w:t>Movement</w:t>
      </w:r>
      <w:proofErr w:type="spellEnd"/>
      <w:r>
        <w:rPr>
          <w:rFonts w:asciiTheme="minorHAnsi" w:eastAsia="Times New Roman" w:hAnsiTheme="minorHAnsi" w:cs="Times New Roman"/>
        </w:rPr>
        <w:t xml:space="preserve"> </w:t>
      </w:r>
      <w:proofErr w:type="spellStart"/>
      <w:r>
        <w:rPr>
          <w:rFonts w:asciiTheme="minorHAnsi" w:eastAsia="Times New Roman" w:hAnsiTheme="minorHAnsi" w:cs="Times New Roman"/>
        </w:rPr>
        <w:t>disorders</w:t>
      </w:r>
      <w:proofErr w:type="spellEnd"/>
      <w:r>
        <w:rPr>
          <w:rFonts w:asciiTheme="minorHAnsi" w:eastAsia="Times New Roman" w:hAnsiTheme="minorHAnsi" w:cs="Times New Roman"/>
        </w:rPr>
        <w:t xml:space="preserve">, autoimunitní a infekční onemocnění, </w:t>
      </w:r>
      <w:proofErr w:type="spellStart"/>
      <w:r>
        <w:rPr>
          <w:rFonts w:asciiTheme="minorHAnsi" w:eastAsia="Times New Roman" w:hAnsiTheme="minorHAnsi" w:cs="Times New Roman"/>
        </w:rPr>
        <w:t>neurotrauma</w:t>
      </w:r>
      <w:proofErr w:type="spellEnd"/>
      <w:r>
        <w:rPr>
          <w:rFonts w:asciiTheme="minorHAnsi" w:eastAsia="Times New Roman" w:hAnsiTheme="minorHAnsi" w:cs="Times New Roman"/>
        </w:rPr>
        <w:t xml:space="preserve"> (kurz)</w:t>
      </w:r>
    </w:p>
    <w:p w14:paraId="03A3B3D8" w14:textId="77777777" w:rsidR="00942744" w:rsidRDefault="007211E8">
      <w:pPr>
        <w:pStyle w:val="Odstavecseseznamem"/>
        <w:widowControl w:val="0"/>
        <w:numPr>
          <w:ilvl w:val="0"/>
          <w:numId w:val="11"/>
        </w:numPr>
        <w:spacing w:after="200"/>
        <w:ind w:left="1134" w:hanging="567"/>
        <w:rPr>
          <w:rFonts w:asciiTheme="minorHAnsi" w:eastAsia="Times New Roman" w:hAnsiTheme="minorHAnsi" w:cs="Times New Roman"/>
        </w:rPr>
      </w:pPr>
      <w:r>
        <w:rPr>
          <w:rFonts w:asciiTheme="minorHAnsi" w:eastAsia="Times New Roman" w:hAnsiTheme="minorHAnsi" w:cs="Times New Roman"/>
        </w:rPr>
        <w:t xml:space="preserve">KA9 – Akutní neurologie, neuropsychologie a neuropsychiatrie, </w:t>
      </w:r>
      <w:proofErr w:type="spellStart"/>
      <w:r>
        <w:rPr>
          <w:rFonts w:asciiTheme="minorHAnsi" w:eastAsia="Times New Roman" w:hAnsiTheme="minorHAnsi" w:cs="Times New Roman"/>
        </w:rPr>
        <w:t>neurorehabilitace</w:t>
      </w:r>
      <w:proofErr w:type="spellEnd"/>
      <w:r>
        <w:rPr>
          <w:rFonts w:asciiTheme="minorHAnsi" w:eastAsia="Times New Roman" w:hAnsiTheme="minorHAnsi" w:cs="Times New Roman"/>
        </w:rPr>
        <w:t>, základy klinické genetiky (kurz)</w:t>
      </w:r>
    </w:p>
    <w:p w14:paraId="3A371A72" w14:textId="77777777" w:rsidR="00942744" w:rsidRDefault="007211E8">
      <w:pPr>
        <w:pStyle w:val="Odstavecseseznamem"/>
        <w:widowControl w:val="0"/>
        <w:numPr>
          <w:ilvl w:val="0"/>
          <w:numId w:val="11"/>
        </w:numPr>
        <w:spacing w:after="200"/>
        <w:ind w:left="1134" w:hanging="567"/>
        <w:rPr>
          <w:rFonts w:asciiTheme="minorHAnsi" w:eastAsia="Times New Roman" w:hAnsiTheme="minorHAnsi" w:cs="Times New Roman"/>
        </w:rPr>
      </w:pPr>
      <w:r>
        <w:rPr>
          <w:rFonts w:asciiTheme="minorHAnsi" w:eastAsia="Times New Roman" w:hAnsiTheme="minorHAnsi" w:cs="Times New Roman"/>
        </w:rPr>
        <w:lastRenderedPageBreak/>
        <w:t>KA10 – Dětská neurologie (praxe)</w:t>
      </w:r>
    </w:p>
    <w:p w14:paraId="6EFE4AFF" w14:textId="77777777" w:rsidR="00942744" w:rsidRDefault="007211E8">
      <w:pPr>
        <w:pStyle w:val="Odstavecseseznamem"/>
        <w:widowControl w:val="0"/>
        <w:numPr>
          <w:ilvl w:val="0"/>
          <w:numId w:val="11"/>
        </w:numPr>
        <w:spacing w:after="200"/>
        <w:ind w:left="1134" w:hanging="567"/>
        <w:rPr>
          <w:rFonts w:asciiTheme="minorHAnsi" w:eastAsia="Times New Roman" w:hAnsiTheme="minorHAnsi" w:cs="Times New Roman"/>
        </w:rPr>
      </w:pPr>
      <w:r>
        <w:rPr>
          <w:rFonts w:asciiTheme="minorHAnsi" w:eastAsia="Times New Roman" w:hAnsiTheme="minorHAnsi" w:cs="Times New Roman"/>
        </w:rPr>
        <w:t>KA11 – Neurologie (praxe)</w:t>
      </w:r>
    </w:p>
    <w:p w14:paraId="2C9012B2" w14:textId="77777777" w:rsidR="00942744" w:rsidRDefault="007211E8">
      <w:pPr>
        <w:pStyle w:val="Odstavecseseznamem"/>
        <w:widowControl w:val="0"/>
        <w:numPr>
          <w:ilvl w:val="0"/>
          <w:numId w:val="11"/>
        </w:numPr>
        <w:spacing w:after="200"/>
        <w:ind w:left="1134" w:hanging="567"/>
        <w:rPr>
          <w:rFonts w:asciiTheme="minorHAnsi" w:eastAsia="Times New Roman" w:hAnsiTheme="minorHAnsi" w:cs="Times New Roman"/>
        </w:rPr>
      </w:pPr>
      <w:r>
        <w:rPr>
          <w:rFonts w:asciiTheme="minorHAnsi" w:eastAsia="Times New Roman" w:hAnsiTheme="minorHAnsi" w:cs="Times New Roman"/>
        </w:rPr>
        <w:t>KA12 – Dětské lékařství / Pediatrie (praxe)</w:t>
      </w:r>
    </w:p>
    <w:p w14:paraId="2E2A0C75" w14:textId="77777777" w:rsidR="00942744" w:rsidRDefault="007211E8">
      <w:pPr>
        <w:pStyle w:val="Odstavecseseznamem"/>
        <w:widowControl w:val="0"/>
        <w:numPr>
          <w:ilvl w:val="0"/>
          <w:numId w:val="11"/>
        </w:numPr>
        <w:spacing w:after="200"/>
        <w:ind w:left="1134" w:hanging="567"/>
        <w:rPr>
          <w:rFonts w:asciiTheme="minorHAnsi" w:eastAsia="Times New Roman" w:hAnsiTheme="minorHAnsi" w:cs="Times New Roman"/>
        </w:rPr>
      </w:pPr>
      <w:r>
        <w:rPr>
          <w:rFonts w:asciiTheme="minorHAnsi" w:eastAsia="Times New Roman" w:hAnsiTheme="minorHAnsi" w:cs="Times New Roman"/>
        </w:rPr>
        <w:t>KA13 – Dětská a dorostová psychiatrie (praxe)</w:t>
      </w:r>
    </w:p>
    <w:p w14:paraId="1E2CBD85" w14:textId="77777777" w:rsidR="00942744" w:rsidRDefault="007211E8">
      <w:pPr>
        <w:pStyle w:val="Odstavecseseznamem"/>
        <w:widowControl w:val="0"/>
        <w:numPr>
          <w:ilvl w:val="0"/>
          <w:numId w:val="11"/>
        </w:numPr>
        <w:spacing w:after="200"/>
        <w:ind w:left="1134" w:hanging="567"/>
        <w:rPr>
          <w:rFonts w:asciiTheme="minorHAnsi" w:eastAsia="Times New Roman" w:hAnsiTheme="minorHAnsi" w:cs="Times New Roman"/>
        </w:rPr>
      </w:pPr>
      <w:r>
        <w:rPr>
          <w:rFonts w:asciiTheme="minorHAnsi" w:eastAsia="Times New Roman" w:hAnsiTheme="minorHAnsi" w:cs="Times New Roman"/>
        </w:rPr>
        <w:t>KA14 – Atestace</w:t>
      </w:r>
    </w:p>
    <w:p w14:paraId="356F6910" w14:textId="77777777" w:rsidR="00942744" w:rsidRDefault="007211E8">
      <w:pPr>
        <w:widowControl w:val="0"/>
        <w:spacing w:after="288" w:line="240" w:lineRule="auto"/>
        <w:ind w:firstLine="567"/>
        <w:contextualSpacing/>
        <w:jc w:val="both"/>
        <w:rPr>
          <w:rFonts w:asciiTheme="minorHAnsi" w:eastAsia="Times New Roman" w:hAnsiTheme="minorHAnsi" w:cs="Times New Roman"/>
        </w:rPr>
      </w:pPr>
      <w:r>
        <w:rPr>
          <w:rFonts w:asciiTheme="minorHAnsi" w:eastAsia="Times New Roman" w:hAnsiTheme="minorHAnsi" w:cs="Times New Roman"/>
        </w:rPr>
        <w:t>KA1 až KA 13 se souhrnně nazývají „</w:t>
      </w:r>
      <w:r>
        <w:rPr>
          <w:rFonts w:asciiTheme="minorHAnsi" w:eastAsia="Times New Roman" w:hAnsiTheme="minorHAnsi" w:cs="Times New Roman"/>
          <w:b/>
        </w:rPr>
        <w:t>vzdělávací aktivity</w:t>
      </w:r>
      <w:r>
        <w:rPr>
          <w:rFonts w:asciiTheme="minorHAnsi" w:eastAsia="Times New Roman" w:hAnsiTheme="minorHAnsi" w:cs="Times New Roman"/>
        </w:rPr>
        <w:t>“.</w:t>
      </w:r>
    </w:p>
    <w:p w14:paraId="0E1E6B2C" w14:textId="77777777" w:rsidR="00942744" w:rsidRDefault="00942744">
      <w:pPr>
        <w:spacing w:after="288" w:line="240" w:lineRule="auto"/>
        <w:contextualSpacing/>
        <w:jc w:val="both"/>
        <w:rPr>
          <w:rFonts w:asciiTheme="minorHAnsi" w:eastAsia="Times New Roman" w:hAnsiTheme="minorHAnsi" w:cs="Times New Roman"/>
        </w:rPr>
      </w:pPr>
    </w:p>
    <w:p w14:paraId="40024117" w14:textId="77777777" w:rsidR="00942744" w:rsidRDefault="007211E8">
      <w:pPr>
        <w:spacing w:after="200"/>
        <w:ind w:left="567"/>
        <w:jc w:val="both"/>
        <w:rPr>
          <w:rFonts w:asciiTheme="minorHAnsi" w:eastAsia="Times New Roman" w:hAnsiTheme="minorHAnsi" w:cs="Times New Roman"/>
        </w:rPr>
      </w:pPr>
      <w:r>
        <w:rPr>
          <w:rFonts w:asciiTheme="minorHAnsi" w:eastAsia="Times New Roman" w:hAnsiTheme="minorHAnsi" w:cs="Times New Roman"/>
        </w:rPr>
        <w:t>Informace o vzdělávacích aktivitách jsou zaznamenávány do průkazu odbornosti/</w:t>
      </w:r>
      <w:proofErr w:type="spellStart"/>
      <w:r>
        <w:rPr>
          <w:rFonts w:asciiTheme="minorHAnsi" w:eastAsia="Times New Roman" w:hAnsiTheme="minorHAnsi" w:cs="Times New Roman"/>
        </w:rPr>
        <w:t>logbooku</w:t>
      </w:r>
      <w:proofErr w:type="spellEnd"/>
      <w:r>
        <w:rPr>
          <w:rFonts w:asciiTheme="minorHAnsi" w:eastAsia="Times New Roman" w:hAnsiTheme="minorHAnsi" w:cs="Times New Roman"/>
        </w:rPr>
        <w:t>.</w:t>
      </w:r>
    </w:p>
    <w:p w14:paraId="3187DB7C" w14:textId="77777777" w:rsidR="00942744" w:rsidRDefault="007211E8">
      <w:pPr>
        <w:pStyle w:val="Odstavecseseznamem"/>
        <w:widowControl w:val="0"/>
        <w:numPr>
          <w:ilvl w:val="0"/>
          <w:numId w:val="7"/>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Pro komunikaci ve věci realizace podmínek uvedených v Rozhodnutí a tomto Metodickém pokynu Příjemce stanoví kontaktní osobu a údaje (tj. jméno a příjmení, e-mail, telefonní číslo kontaktní osoby) sdělí MZ.</w:t>
      </w:r>
    </w:p>
    <w:p w14:paraId="43FBEC81" w14:textId="77777777" w:rsidR="00942744" w:rsidRDefault="007211E8">
      <w:pPr>
        <w:pStyle w:val="Odstavecseseznamem"/>
        <w:widowControl w:val="0"/>
        <w:numPr>
          <w:ilvl w:val="0"/>
          <w:numId w:val="7"/>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Příjemce je povinen seznámit se se všemi zprávami, které budou ze strany MZ doručeny Příjemci na e-mail kontaktní osoby či datovou schránkou.</w:t>
      </w:r>
    </w:p>
    <w:p w14:paraId="32ACDD24" w14:textId="77777777" w:rsidR="00942744" w:rsidRDefault="007211E8">
      <w:pPr>
        <w:pStyle w:val="Odstavecseseznamem"/>
        <w:widowControl w:val="0"/>
        <w:numPr>
          <w:ilvl w:val="0"/>
          <w:numId w:val="7"/>
        </w:numPr>
        <w:spacing w:after="200"/>
        <w:ind w:left="567" w:hanging="567"/>
        <w:jc w:val="both"/>
      </w:pPr>
      <w:r>
        <w:rPr>
          <w:rFonts w:asciiTheme="minorHAnsi" w:eastAsia="Times New Roman" w:hAnsiTheme="minorHAnsi" w:cs="Times New Roman"/>
        </w:rPr>
        <w:t xml:space="preserve">V případě dotazů, nejasností apod. může Příjemce kontaktovat projektového manažera e-mailem na adrese </w:t>
      </w:r>
      <w:hyperlink r:id="rId8">
        <w:r>
          <w:rPr>
            <w:rStyle w:val="Internetovodkaz"/>
            <w:rFonts w:asciiTheme="minorHAnsi" w:eastAsia="Times New Roman" w:hAnsiTheme="minorHAnsi" w:cs="Times New Roman"/>
            <w:webHidden/>
          </w:rPr>
          <w:t>neurologove@mzcr.cz</w:t>
        </w:r>
      </w:hyperlink>
      <w:r>
        <w:rPr>
          <w:rFonts w:asciiTheme="minorHAnsi" w:eastAsia="Times New Roman" w:hAnsiTheme="minorHAnsi" w:cs="Times New Roman"/>
        </w:rPr>
        <w:t>.</w:t>
      </w:r>
    </w:p>
    <w:p w14:paraId="2CAC8479" w14:textId="77777777" w:rsidR="00942744" w:rsidRDefault="007211E8">
      <w:pPr>
        <w:pStyle w:val="Odstavecseseznamem"/>
        <w:widowControl w:val="0"/>
        <w:numPr>
          <w:ilvl w:val="0"/>
          <w:numId w:val="7"/>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Pravidla v tomto Metodickém pokynu uvedená jsou platná pro výdaje uskutečněné od 1. 6. 2018, pokud dále v tomto Metodickém pokynu není uvedeno jinak.</w:t>
      </w:r>
    </w:p>
    <w:p w14:paraId="7162D9FD" w14:textId="4FF00B8A" w:rsidR="00942744" w:rsidRDefault="00942744">
      <w:pPr>
        <w:rPr>
          <w:rFonts w:asciiTheme="minorHAnsi" w:eastAsia="Times New Roman" w:hAnsiTheme="minorHAnsi" w:cs="Times New Roman"/>
          <w:sz w:val="24"/>
          <w:szCs w:val="24"/>
        </w:rPr>
      </w:pPr>
    </w:p>
    <w:p w14:paraId="1FB46A99" w14:textId="77777777" w:rsidR="007349A3" w:rsidRDefault="007349A3">
      <w:pPr>
        <w:rPr>
          <w:rFonts w:asciiTheme="minorHAnsi" w:hAnsiTheme="minorHAnsi"/>
          <w:b/>
          <w:color w:val="0070C0"/>
          <w:sz w:val="28"/>
          <w:szCs w:val="28"/>
        </w:rPr>
      </w:pPr>
      <w:bookmarkStart w:id="4" w:name="_2et92p0"/>
      <w:bookmarkStart w:id="5" w:name="_Toc34659563"/>
      <w:bookmarkEnd w:id="4"/>
      <w:r>
        <w:br w:type="page"/>
      </w:r>
    </w:p>
    <w:p w14:paraId="7851BC69" w14:textId="46F77E48" w:rsidR="00942744" w:rsidRDefault="007211E8">
      <w:pPr>
        <w:pStyle w:val="Nadpiss2"/>
        <w:numPr>
          <w:ilvl w:val="0"/>
          <w:numId w:val="8"/>
        </w:numPr>
        <w:ind w:left="924" w:hanging="567"/>
      </w:pPr>
      <w:r>
        <w:lastRenderedPageBreak/>
        <w:t>Zapojení účastníků do klíčových aktivit</w:t>
      </w:r>
      <w:bookmarkEnd w:id="5"/>
    </w:p>
    <w:p w14:paraId="72B611EF" w14:textId="77777777" w:rsidR="00942744" w:rsidRDefault="00942744">
      <w:pPr>
        <w:pStyle w:val="Bezmezer"/>
      </w:pPr>
    </w:p>
    <w:p w14:paraId="4DDAFF86" w14:textId="51056634" w:rsidR="00942744" w:rsidRDefault="007211E8">
      <w:pPr>
        <w:pStyle w:val="Odstavecseseznamem"/>
        <w:widowControl w:val="0"/>
        <w:numPr>
          <w:ilvl w:val="0"/>
          <w:numId w:val="15"/>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 xml:space="preserve">Účastníci se klíčových aktivit Projektu účastní dle svých objektivních vzdělávacích potřeb </w:t>
      </w:r>
      <w:r>
        <w:rPr>
          <w:rFonts w:asciiTheme="minorHAnsi" w:eastAsia="Times New Roman" w:hAnsiTheme="minorHAnsi" w:cs="Times New Roman"/>
          <w:b/>
        </w:rPr>
        <w:t>dle podmínek vzdělávacího programu oboru dětská neurologie</w:t>
      </w:r>
      <w:r>
        <w:rPr>
          <w:rFonts w:asciiTheme="minorHAnsi" w:eastAsia="Times New Roman" w:hAnsiTheme="minorHAnsi" w:cs="Times New Roman"/>
        </w:rPr>
        <w:t>, dle zákona č. 95/2004 Sb.</w:t>
      </w:r>
    </w:p>
    <w:p w14:paraId="6589A1B4" w14:textId="15AA8EE4" w:rsidR="00942744" w:rsidRDefault="007211E8">
      <w:pPr>
        <w:pStyle w:val="Odstavecseseznamem"/>
        <w:widowControl w:val="0"/>
        <w:numPr>
          <w:ilvl w:val="0"/>
          <w:numId w:val="15"/>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b/>
        </w:rPr>
        <w:t>lékaři, zařazení do programu oboru do 30. 6. 2017 včetně</w:t>
      </w:r>
      <w:r>
        <w:rPr>
          <w:rFonts w:asciiTheme="minorHAnsi" w:eastAsia="Times New Roman" w:hAnsiTheme="minorHAnsi" w:cs="Times New Roman"/>
        </w:rPr>
        <w:t>, podle „Vzdělávacího programu oboru dětská neurologie“, zveřejněného ve Věstníku MZ, roč. 2015, částka 5 (dále jen „DN Věstník 2015</w:t>
      </w:r>
      <w:r w:rsidR="006F133D">
        <w:rPr>
          <w:rFonts w:asciiTheme="minorHAnsi" w:eastAsia="Times New Roman" w:hAnsiTheme="minorHAnsi" w:cs="Times New Roman"/>
        </w:rPr>
        <w:t>“</w:t>
      </w:r>
      <w:r w:rsidR="00171611">
        <w:rPr>
          <w:rFonts w:asciiTheme="minorHAnsi" w:eastAsia="Times New Roman" w:hAnsiTheme="minorHAnsi" w:cs="Times New Roman"/>
        </w:rPr>
        <w:t>)</w:t>
      </w:r>
      <w:r>
        <w:rPr>
          <w:rFonts w:asciiTheme="minorHAnsi" w:eastAsia="Times New Roman" w:hAnsiTheme="minorHAnsi" w:cs="Times New Roman"/>
        </w:rPr>
        <w:t>:</w:t>
      </w:r>
    </w:p>
    <w:tbl>
      <w:tblPr>
        <w:tblW w:w="8788" w:type="dxa"/>
        <w:tblInd w:w="3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6804"/>
        <w:gridCol w:w="1984"/>
      </w:tblGrid>
      <w:tr w:rsidR="00942744" w14:paraId="408FA712" w14:textId="77777777">
        <w:trPr>
          <w:trHeight w:val="569"/>
          <w:tblHeader/>
        </w:trPr>
        <w:tc>
          <w:tcPr>
            <w:tcW w:w="680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vAlign w:val="center"/>
          </w:tcPr>
          <w:p w14:paraId="6C0D510D" w14:textId="77777777" w:rsidR="00942744" w:rsidRDefault="007211E8">
            <w:pPr>
              <w:widowControl w:val="0"/>
              <w:spacing w:after="288" w:line="240" w:lineRule="auto"/>
              <w:contextualSpacing/>
              <w:jc w:val="center"/>
              <w:rPr>
                <w:rFonts w:asciiTheme="minorHAnsi" w:eastAsia="Times New Roman" w:hAnsiTheme="minorHAnsi" w:cs="Times New Roman"/>
                <w:b/>
                <w:sz w:val="24"/>
                <w:szCs w:val="24"/>
              </w:rPr>
            </w:pPr>
            <w:r>
              <w:rPr>
                <w:rFonts w:asciiTheme="minorHAnsi" w:eastAsia="Times New Roman" w:hAnsiTheme="minorHAnsi" w:cs="Times New Roman"/>
                <w:b/>
                <w:sz w:val="24"/>
                <w:szCs w:val="24"/>
              </w:rPr>
              <w:t>Klíčová aktivita v Projektu</w:t>
            </w:r>
          </w:p>
        </w:tc>
        <w:tc>
          <w:tcPr>
            <w:tcW w:w="1984"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vAlign w:val="center"/>
          </w:tcPr>
          <w:p w14:paraId="55EB57AF" w14:textId="77777777" w:rsidR="00942744" w:rsidRDefault="007211E8">
            <w:pPr>
              <w:widowControl w:val="0"/>
              <w:spacing w:after="288" w:line="240" w:lineRule="auto"/>
              <w:contextualSpacing/>
              <w:jc w:val="both"/>
              <w:rPr>
                <w:rFonts w:asciiTheme="minorHAnsi" w:eastAsia="Times New Roman" w:hAnsiTheme="minorHAnsi" w:cs="Times New Roman"/>
                <w:sz w:val="24"/>
                <w:szCs w:val="24"/>
              </w:rPr>
            </w:pPr>
            <w:r>
              <w:rPr>
                <w:rFonts w:asciiTheme="minorHAnsi" w:eastAsia="Times New Roman" w:hAnsiTheme="minorHAnsi" w:cs="Times New Roman"/>
                <w:b/>
                <w:sz w:val="24"/>
                <w:szCs w:val="24"/>
              </w:rPr>
              <w:t>Časová dotace</w:t>
            </w:r>
          </w:p>
        </w:tc>
      </w:tr>
      <w:tr w:rsidR="00942744" w14:paraId="4F65BFCC" w14:textId="77777777">
        <w:trPr>
          <w:trHeight w:val="380"/>
        </w:trPr>
        <w:tc>
          <w:tcPr>
            <w:tcW w:w="68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20936DA" w14:textId="572EB1D4"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KA1 </w:t>
            </w:r>
            <w:r w:rsidR="00263FBF">
              <w:rPr>
                <w:rFonts w:asciiTheme="minorHAnsi" w:eastAsia="Times New Roman" w:hAnsiTheme="minorHAnsi" w:cs="Times New Roman"/>
              </w:rPr>
              <w:t>–</w:t>
            </w:r>
            <w:r>
              <w:rPr>
                <w:rFonts w:asciiTheme="minorHAnsi" w:eastAsia="Times New Roman" w:hAnsiTheme="minorHAnsi" w:cs="Times New Roman"/>
              </w:rPr>
              <w:t xml:space="preserve"> Lékařská první pomoc (kurz)</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68A36D1"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20 hod</w:t>
            </w:r>
          </w:p>
        </w:tc>
      </w:tr>
      <w:tr w:rsidR="00942744" w14:paraId="2EB1A176" w14:textId="77777777">
        <w:trPr>
          <w:trHeight w:val="420"/>
        </w:trPr>
        <w:tc>
          <w:tcPr>
            <w:tcW w:w="68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D7BE714" w14:textId="35690329"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KA2 </w:t>
            </w:r>
            <w:r w:rsidR="00263FBF">
              <w:rPr>
                <w:rFonts w:asciiTheme="minorHAnsi" w:eastAsia="Times New Roman" w:hAnsiTheme="minorHAnsi" w:cs="Times New Roman"/>
              </w:rPr>
              <w:t>–</w:t>
            </w:r>
            <w:r>
              <w:rPr>
                <w:rFonts w:asciiTheme="minorHAnsi" w:eastAsia="Times New Roman" w:hAnsiTheme="minorHAnsi" w:cs="Times New Roman"/>
              </w:rPr>
              <w:t xml:space="preserve"> Základy zdrav. legislativy, etiky a komunikace (kurz)</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55CA84E"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16 hod</w:t>
            </w:r>
          </w:p>
        </w:tc>
      </w:tr>
      <w:tr w:rsidR="00942744" w14:paraId="31BF27EB" w14:textId="77777777">
        <w:trPr>
          <w:trHeight w:val="360"/>
        </w:trPr>
        <w:tc>
          <w:tcPr>
            <w:tcW w:w="68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F8BFFA2" w14:textId="37ECC984"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KA3 </w:t>
            </w:r>
            <w:r w:rsidR="00263FBF">
              <w:rPr>
                <w:rFonts w:asciiTheme="minorHAnsi" w:eastAsia="Times New Roman" w:hAnsiTheme="minorHAnsi" w:cs="Times New Roman"/>
              </w:rPr>
              <w:t>–</w:t>
            </w:r>
            <w:r>
              <w:rPr>
                <w:rFonts w:asciiTheme="minorHAnsi" w:eastAsia="Times New Roman" w:hAnsiTheme="minorHAnsi" w:cs="Times New Roman"/>
              </w:rPr>
              <w:t xml:space="preserve"> Prevence škodlivého užívání NL a léčba závislostí (kurz)</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8DAECE6"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 xml:space="preserve">8 hod </w:t>
            </w:r>
          </w:p>
        </w:tc>
      </w:tr>
      <w:tr w:rsidR="00942744" w14:paraId="67254E5A" w14:textId="77777777">
        <w:trPr>
          <w:trHeight w:val="340"/>
        </w:trPr>
        <w:tc>
          <w:tcPr>
            <w:tcW w:w="68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D6B3F96" w14:textId="7F150196"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KA4 </w:t>
            </w:r>
            <w:r w:rsidR="00263FBF">
              <w:rPr>
                <w:rFonts w:asciiTheme="minorHAnsi" w:eastAsia="Times New Roman" w:hAnsiTheme="minorHAnsi" w:cs="Times New Roman"/>
              </w:rPr>
              <w:t>–</w:t>
            </w:r>
            <w:r>
              <w:rPr>
                <w:rFonts w:asciiTheme="minorHAnsi" w:eastAsia="Times New Roman" w:hAnsiTheme="minorHAnsi" w:cs="Times New Roman"/>
              </w:rPr>
              <w:t xml:space="preserve"> Radiační ochrana (kurz)</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6730F78"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8 hod</w:t>
            </w:r>
          </w:p>
        </w:tc>
      </w:tr>
      <w:tr w:rsidR="00942744" w14:paraId="66881DC9" w14:textId="77777777">
        <w:trPr>
          <w:trHeight w:val="360"/>
        </w:trPr>
        <w:tc>
          <w:tcPr>
            <w:tcW w:w="68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D3BB1C8" w14:textId="425EE50D"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KA5 </w:t>
            </w:r>
            <w:r w:rsidR="00263FBF">
              <w:rPr>
                <w:rFonts w:asciiTheme="minorHAnsi" w:eastAsia="Times New Roman" w:hAnsiTheme="minorHAnsi" w:cs="Times New Roman"/>
              </w:rPr>
              <w:t>–</w:t>
            </w:r>
            <w:r>
              <w:rPr>
                <w:rFonts w:asciiTheme="minorHAnsi" w:eastAsia="Times New Roman" w:hAnsiTheme="minorHAnsi" w:cs="Times New Roman"/>
              </w:rPr>
              <w:t xml:space="preserve"> Novorozenecká a vývojová neurologie (kurz)</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6200C64"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25-40 hod</w:t>
            </w:r>
          </w:p>
        </w:tc>
      </w:tr>
      <w:tr w:rsidR="00942744" w14:paraId="1A63974A" w14:textId="77777777">
        <w:trPr>
          <w:trHeight w:val="320"/>
        </w:trPr>
        <w:tc>
          <w:tcPr>
            <w:tcW w:w="68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EEB9079" w14:textId="276EB9B8"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KA6 </w:t>
            </w:r>
            <w:r w:rsidR="00263FBF">
              <w:rPr>
                <w:rFonts w:asciiTheme="minorHAnsi" w:eastAsia="Times New Roman" w:hAnsiTheme="minorHAnsi" w:cs="Times New Roman"/>
              </w:rPr>
              <w:t>–</w:t>
            </w:r>
            <w:r>
              <w:rPr>
                <w:rFonts w:asciiTheme="minorHAnsi" w:eastAsia="Times New Roman" w:hAnsiTheme="minorHAnsi" w:cs="Times New Roman"/>
              </w:rPr>
              <w:t xml:space="preserve"> Nervosvalová a </w:t>
            </w:r>
            <w:proofErr w:type="spellStart"/>
            <w:r>
              <w:rPr>
                <w:rFonts w:asciiTheme="minorHAnsi" w:eastAsia="Times New Roman" w:hAnsiTheme="minorHAnsi" w:cs="Times New Roman"/>
              </w:rPr>
              <w:t>metabol</w:t>
            </w:r>
            <w:proofErr w:type="spellEnd"/>
            <w:r>
              <w:rPr>
                <w:rFonts w:asciiTheme="minorHAnsi" w:eastAsia="Times New Roman" w:hAnsiTheme="minorHAnsi" w:cs="Times New Roman"/>
              </w:rPr>
              <w:t>. onemocnění (kurz)</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E122D5F"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25-40 hod</w:t>
            </w:r>
          </w:p>
        </w:tc>
      </w:tr>
      <w:tr w:rsidR="00942744" w14:paraId="662DB495" w14:textId="77777777">
        <w:trPr>
          <w:trHeight w:val="320"/>
        </w:trPr>
        <w:tc>
          <w:tcPr>
            <w:tcW w:w="68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9AFBC6F" w14:textId="33D5AE96"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KA7 </w:t>
            </w:r>
            <w:r w:rsidR="00263FBF">
              <w:rPr>
                <w:rFonts w:asciiTheme="minorHAnsi" w:eastAsia="Times New Roman" w:hAnsiTheme="minorHAnsi" w:cs="Times New Roman"/>
              </w:rPr>
              <w:t>–</w:t>
            </w:r>
            <w:r>
              <w:rPr>
                <w:rFonts w:asciiTheme="minorHAnsi" w:eastAsia="Times New Roman" w:hAnsiTheme="minorHAnsi" w:cs="Times New Roman"/>
              </w:rPr>
              <w:t xml:space="preserve"> </w:t>
            </w:r>
            <w:proofErr w:type="spellStart"/>
            <w:r>
              <w:rPr>
                <w:rFonts w:asciiTheme="minorHAnsi" w:eastAsia="Times New Roman" w:hAnsiTheme="minorHAnsi" w:cs="Times New Roman"/>
              </w:rPr>
              <w:t>Epileptologie</w:t>
            </w:r>
            <w:proofErr w:type="spellEnd"/>
            <w:r>
              <w:rPr>
                <w:rFonts w:asciiTheme="minorHAnsi" w:eastAsia="Times New Roman" w:hAnsiTheme="minorHAnsi" w:cs="Times New Roman"/>
              </w:rPr>
              <w:t>, poruchy spánku, zobrazovací metody (kurz)</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5DCE442"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25-40 hod</w:t>
            </w:r>
          </w:p>
        </w:tc>
      </w:tr>
      <w:tr w:rsidR="00942744" w14:paraId="6490BAC4" w14:textId="77777777">
        <w:trPr>
          <w:trHeight w:val="340"/>
        </w:trPr>
        <w:tc>
          <w:tcPr>
            <w:tcW w:w="68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2759498" w14:textId="7755C214" w:rsidR="00942744" w:rsidRDefault="007211E8">
            <w:pPr>
              <w:widowControl w:val="0"/>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KA8 </w:t>
            </w:r>
            <w:r w:rsidR="00263FBF">
              <w:rPr>
                <w:rFonts w:asciiTheme="minorHAnsi" w:eastAsia="Times New Roman" w:hAnsiTheme="minorHAnsi" w:cs="Times New Roman"/>
              </w:rPr>
              <w:t>–</w:t>
            </w:r>
            <w:r>
              <w:rPr>
                <w:rFonts w:asciiTheme="minorHAnsi" w:eastAsia="Times New Roman" w:hAnsiTheme="minorHAnsi" w:cs="Times New Roman"/>
              </w:rPr>
              <w:t xml:space="preserve"> </w:t>
            </w:r>
            <w:proofErr w:type="spellStart"/>
            <w:r>
              <w:rPr>
                <w:rFonts w:asciiTheme="minorHAnsi" w:eastAsia="Times New Roman" w:hAnsiTheme="minorHAnsi" w:cs="Times New Roman"/>
              </w:rPr>
              <w:t>Movement</w:t>
            </w:r>
            <w:proofErr w:type="spellEnd"/>
            <w:r>
              <w:rPr>
                <w:rFonts w:asciiTheme="minorHAnsi" w:eastAsia="Times New Roman" w:hAnsiTheme="minorHAnsi" w:cs="Times New Roman"/>
              </w:rPr>
              <w:t xml:space="preserve"> </w:t>
            </w:r>
            <w:proofErr w:type="spellStart"/>
            <w:r>
              <w:rPr>
                <w:rFonts w:asciiTheme="minorHAnsi" w:eastAsia="Times New Roman" w:hAnsiTheme="minorHAnsi" w:cs="Times New Roman"/>
              </w:rPr>
              <w:t>disorders</w:t>
            </w:r>
            <w:proofErr w:type="spellEnd"/>
            <w:r>
              <w:rPr>
                <w:rFonts w:asciiTheme="minorHAnsi" w:eastAsia="Times New Roman" w:hAnsiTheme="minorHAnsi" w:cs="Times New Roman"/>
              </w:rPr>
              <w:t xml:space="preserve">, autoimunitní a infekční onemocnění, </w:t>
            </w:r>
            <w:proofErr w:type="spellStart"/>
            <w:r>
              <w:rPr>
                <w:rFonts w:asciiTheme="minorHAnsi" w:eastAsia="Times New Roman" w:hAnsiTheme="minorHAnsi" w:cs="Times New Roman"/>
              </w:rPr>
              <w:t>neurotrauma</w:t>
            </w:r>
            <w:proofErr w:type="spellEnd"/>
            <w:r>
              <w:rPr>
                <w:rFonts w:asciiTheme="minorHAnsi" w:eastAsia="Times New Roman" w:hAnsiTheme="minorHAnsi" w:cs="Times New Roman"/>
              </w:rPr>
              <w:t xml:space="preserve"> (kurz)</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3D2443D"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25-40 hod</w:t>
            </w:r>
          </w:p>
        </w:tc>
      </w:tr>
      <w:tr w:rsidR="00942744" w14:paraId="3CA8C3A6" w14:textId="77777777">
        <w:trPr>
          <w:trHeight w:val="320"/>
        </w:trPr>
        <w:tc>
          <w:tcPr>
            <w:tcW w:w="68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F59E39F" w14:textId="111859C1" w:rsidR="00942744" w:rsidRDefault="007211E8">
            <w:pPr>
              <w:widowControl w:val="0"/>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KA9 </w:t>
            </w:r>
            <w:r w:rsidR="00263FBF">
              <w:rPr>
                <w:rFonts w:asciiTheme="minorHAnsi" w:eastAsia="Times New Roman" w:hAnsiTheme="minorHAnsi" w:cs="Times New Roman"/>
              </w:rPr>
              <w:t>–</w:t>
            </w:r>
            <w:r>
              <w:rPr>
                <w:rFonts w:asciiTheme="minorHAnsi" w:eastAsia="Times New Roman" w:hAnsiTheme="minorHAnsi" w:cs="Times New Roman"/>
              </w:rPr>
              <w:t xml:space="preserve"> Akutní neurologie, neuropsychologie a neuropsychiatrie, </w:t>
            </w:r>
            <w:proofErr w:type="spellStart"/>
            <w:r>
              <w:rPr>
                <w:rFonts w:asciiTheme="minorHAnsi" w:eastAsia="Times New Roman" w:hAnsiTheme="minorHAnsi" w:cs="Times New Roman"/>
              </w:rPr>
              <w:t>neurorehabilitace</w:t>
            </w:r>
            <w:proofErr w:type="spellEnd"/>
            <w:r>
              <w:rPr>
                <w:rFonts w:asciiTheme="minorHAnsi" w:eastAsia="Times New Roman" w:hAnsiTheme="minorHAnsi" w:cs="Times New Roman"/>
              </w:rPr>
              <w:t>, základy klinické genetiky (kurz)</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67E0C3F"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25-40 hod</w:t>
            </w:r>
          </w:p>
        </w:tc>
      </w:tr>
      <w:tr w:rsidR="00942744" w14:paraId="6418BB80" w14:textId="77777777">
        <w:trPr>
          <w:trHeight w:val="360"/>
        </w:trPr>
        <w:tc>
          <w:tcPr>
            <w:tcW w:w="68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1668D53" w14:textId="74922C4F"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KA10 </w:t>
            </w:r>
            <w:r w:rsidR="00263FBF">
              <w:rPr>
                <w:rFonts w:asciiTheme="minorHAnsi" w:eastAsia="Times New Roman" w:hAnsiTheme="minorHAnsi" w:cs="Times New Roman"/>
              </w:rPr>
              <w:t>–</w:t>
            </w:r>
            <w:r>
              <w:rPr>
                <w:rFonts w:asciiTheme="minorHAnsi" w:eastAsia="Times New Roman" w:hAnsiTheme="minorHAnsi" w:cs="Times New Roman"/>
              </w:rPr>
              <w:t xml:space="preserve"> Dětská neurologie (praxe)</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64870B5"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 xml:space="preserve">max. 24 </w:t>
            </w:r>
            <w:proofErr w:type="spellStart"/>
            <w:r>
              <w:rPr>
                <w:rFonts w:asciiTheme="minorHAnsi" w:eastAsia="Times New Roman" w:hAnsiTheme="minorHAnsi" w:cs="Times New Roman"/>
              </w:rPr>
              <w:t>měs</w:t>
            </w:r>
            <w:proofErr w:type="spellEnd"/>
          </w:p>
        </w:tc>
      </w:tr>
      <w:tr w:rsidR="00942744" w14:paraId="0BAE2C09" w14:textId="77777777">
        <w:trPr>
          <w:trHeight w:val="400"/>
        </w:trPr>
        <w:tc>
          <w:tcPr>
            <w:tcW w:w="68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3DDFEFC" w14:textId="655F9A83"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KA11 </w:t>
            </w:r>
            <w:r w:rsidR="00263FBF">
              <w:rPr>
                <w:rFonts w:asciiTheme="minorHAnsi" w:eastAsia="Times New Roman" w:hAnsiTheme="minorHAnsi" w:cs="Times New Roman"/>
              </w:rPr>
              <w:t>–</w:t>
            </w:r>
            <w:r>
              <w:rPr>
                <w:rFonts w:asciiTheme="minorHAnsi" w:eastAsia="Times New Roman" w:hAnsiTheme="minorHAnsi" w:cs="Times New Roman"/>
              </w:rPr>
              <w:t xml:space="preserve"> Neurologie (praxe) – pro lékaře s pediatrickým kmenem</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68BC917"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 xml:space="preserve">max. 11 </w:t>
            </w:r>
            <w:proofErr w:type="spellStart"/>
            <w:r>
              <w:rPr>
                <w:rFonts w:asciiTheme="minorHAnsi" w:eastAsia="Times New Roman" w:hAnsiTheme="minorHAnsi" w:cs="Times New Roman"/>
              </w:rPr>
              <w:t>měs</w:t>
            </w:r>
            <w:proofErr w:type="spellEnd"/>
            <w:r>
              <w:rPr>
                <w:rFonts w:asciiTheme="minorHAnsi" w:eastAsia="Times New Roman" w:hAnsiTheme="minorHAnsi" w:cs="Times New Roman"/>
              </w:rPr>
              <w:t xml:space="preserve"> 1 </w:t>
            </w:r>
            <w:proofErr w:type="spellStart"/>
            <w:r>
              <w:rPr>
                <w:rFonts w:asciiTheme="minorHAnsi" w:eastAsia="Times New Roman" w:hAnsiTheme="minorHAnsi" w:cs="Times New Roman"/>
              </w:rPr>
              <w:t>týd</w:t>
            </w:r>
            <w:proofErr w:type="spellEnd"/>
          </w:p>
        </w:tc>
      </w:tr>
      <w:tr w:rsidR="00942744" w14:paraId="205E7D02" w14:textId="77777777">
        <w:trPr>
          <w:trHeight w:val="320"/>
        </w:trPr>
        <w:tc>
          <w:tcPr>
            <w:tcW w:w="68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3DBFCFC" w14:textId="5D8BA880"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KA12 </w:t>
            </w:r>
            <w:r w:rsidR="00263FBF">
              <w:rPr>
                <w:rFonts w:asciiTheme="minorHAnsi" w:eastAsia="Times New Roman" w:hAnsiTheme="minorHAnsi" w:cs="Times New Roman"/>
              </w:rPr>
              <w:t>–</w:t>
            </w:r>
            <w:r>
              <w:rPr>
                <w:rFonts w:asciiTheme="minorHAnsi" w:eastAsia="Times New Roman" w:hAnsiTheme="minorHAnsi" w:cs="Times New Roman"/>
              </w:rPr>
              <w:t xml:space="preserve"> Dětské lékařství (praxe) – pro lékaře s neurologickým kmenem</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9850D5E"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 xml:space="preserve">max. 11 </w:t>
            </w:r>
            <w:proofErr w:type="spellStart"/>
            <w:r>
              <w:rPr>
                <w:rFonts w:asciiTheme="minorHAnsi" w:eastAsia="Times New Roman" w:hAnsiTheme="minorHAnsi" w:cs="Times New Roman"/>
              </w:rPr>
              <w:t>měs</w:t>
            </w:r>
            <w:proofErr w:type="spellEnd"/>
            <w:r>
              <w:rPr>
                <w:rFonts w:asciiTheme="minorHAnsi" w:eastAsia="Times New Roman" w:hAnsiTheme="minorHAnsi" w:cs="Times New Roman"/>
              </w:rPr>
              <w:t xml:space="preserve"> 1 </w:t>
            </w:r>
            <w:proofErr w:type="spellStart"/>
            <w:r>
              <w:rPr>
                <w:rFonts w:asciiTheme="minorHAnsi" w:eastAsia="Times New Roman" w:hAnsiTheme="minorHAnsi" w:cs="Times New Roman"/>
              </w:rPr>
              <w:t>týd</w:t>
            </w:r>
            <w:proofErr w:type="spellEnd"/>
          </w:p>
        </w:tc>
      </w:tr>
      <w:tr w:rsidR="00942744" w14:paraId="00974986" w14:textId="77777777">
        <w:trPr>
          <w:trHeight w:val="320"/>
        </w:trPr>
        <w:tc>
          <w:tcPr>
            <w:tcW w:w="68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3EE6F7F" w14:textId="1C5F4DFF"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KA13 </w:t>
            </w:r>
            <w:r w:rsidR="00263FBF">
              <w:rPr>
                <w:rFonts w:asciiTheme="minorHAnsi" w:eastAsia="Times New Roman" w:hAnsiTheme="minorHAnsi" w:cs="Times New Roman"/>
              </w:rPr>
              <w:t>–</w:t>
            </w:r>
            <w:r>
              <w:rPr>
                <w:rFonts w:asciiTheme="minorHAnsi" w:eastAsia="Times New Roman" w:hAnsiTheme="minorHAnsi" w:cs="Times New Roman"/>
              </w:rPr>
              <w:t xml:space="preserve"> Dětská a dorostová psychiatrie (praxe)</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D3836B3"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 xml:space="preserve">max. 3 </w:t>
            </w:r>
            <w:proofErr w:type="spellStart"/>
            <w:r>
              <w:rPr>
                <w:rFonts w:asciiTheme="minorHAnsi" w:eastAsia="Times New Roman" w:hAnsiTheme="minorHAnsi" w:cs="Times New Roman"/>
              </w:rPr>
              <w:t>týd</w:t>
            </w:r>
            <w:proofErr w:type="spellEnd"/>
          </w:p>
        </w:tc>
      </w:tr>
      <w:tr w:rsidR="00942744" w14:paraId="6D3B89BF" w14:textId="77777777">
        <w:trPr>
          <w:trHeight w:val="340"/>
        </w:trPr>
        <w:tc>
          <w:tcPr>
            <w:tcW w:w="68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6EC3AA6" w14:textId="225FF10B"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KA14 </w:t>
            </w:r>
            <w:r w:rsidR="00263FBF">
              <w:rPr>
                <w:rFonts w:asciiTheme="minorHAnsi" w:eastAsia="Times New Roman" w:hAnsiTheme="minorHAnsi" w:cs="Times New Roman"/>
              </w:rPr>
              <w:t>–</w:t>
            </w:r>
            <w:r>
              <w:rPr>
                <w:rFonts w:asciiTheme="minorHAnsi" w:eastAsia="Times New Roman" w:hAnsiTheme="minorHAnsi" w:cs="Times New Roman"/>
              </w:rPr>
              <w:t xml:space="preserve"> Atestace</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F92C925"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není relevantní</w:t>
            </w:r>
          </w:p>
        </w:tc>
      </w:tr>
    </w:tbl>
    <w:p w14:paraId="1632C16F" w14:textId="77777777" w:rsidR="00942744" w:rsidRDefault="00942744">
      <w:pPr>
        <w:widowControl w:val="0"/>
        <w:spacing w:after="288" w:line="240" w:lineRule="auto"/>
        <w:contextualSpacing/>
        <w:jc w:val="both"/>
        <w:rPr>
          <w:rFonts w:asciiTheme="minorHAnsi" w:eastAsia="Times New Roman" w:hAnsiTheme="minorHAnsi" w:cs="Times New Roman"/>
          <w:sz w:val="24"/>
          <w:szCs w:val="24"/>
        </w:rPr>
      </w:pPr>
    </w:p>
    <w:p w14:paraId="0B133A95" w14:textId="63E7F090" w:rsidR="00486972" w:rsidRPr="007349A3" w:rsidRDefault="007211E8" w:rsidP="007349A3">
      <w:pPr>
        <w:pStyle w:val="Odstavecseseznamem"/>
        <w:widowControl w:val="0"/>
        <w:numPr>
          <w:ilvl w:val="0"/>
          <w:numId w:val="15"/>
        </w:numPr>
        <w:spacing w:after="120"/>
        <w:ind w:left="567" w:hanging="567"/>
        <w:jc w:val="both"/>
        <w:rPr>
          <w:rFonts w:asciiTheme="minorHAnsi" w:eastAsia="Times New Roman" w:hAnsiTheme="minorHAnsi" w:cs="Times New Roman"/>
        </w:rPr>
      </w:pPr>
      <w:r>
        <w:rPr>
          <w:rFonts w:asciiTheme="minorHAnsi" w:eastAsia="Times New Roman" w:hAnsiTheme="minorHAnsi" w:cs="Times New Roman"/>
          <w:b/>
        </w:rPr>
        <w:t>lékaři, zařazení do programu oboru od 1. 7. 2017</w:t>
      </w:r>
      <w:r>
        <w:rPr>
          <w:rFonts w:asciiTheme="minorHAnsi" w:eastAsia="Times New Roman" w:hAnsiTheme="minorHAnsi" w:cs="Times New Roman"/>
        </w:rPr>
        <w:t>, podle „Vzdělávacího programu specializačního oboru dětská neurologie – vlastní specializovaný výcvik“, zveřejněného ve Věstníku MZ, roč. 2018, částka 11 (dále jen „DN Věstník 2018“):</w:t>
      </w:r>
    </w:p>
    <w:p w14:paraId="760D25EF" w14:textId="5C38D4F0" w:rsidR="00942744" w:rsidRPr="00486972" w:rsidRDefault="007211E8" w:rsidP="007349A3">
      <w:pPr>
        <w:widowControl w:val="0"/>
        <w:numPr>
          <w:ilvl w:val="0"/>
          <w:numId w:val="3"/>
        </w:numPr>
        <w:tabs>
          <w:tab w:val="left" w:pos="1418"/>
        </w:tabs>
        <w:spacing w:after="288" w:line="240" w:lineRule="auto"/>
        <w:ind w:left="1077" w:hanging="567"/>
        <w:contextualSpacing/>
        <w:jc w:val="both"/>
        <w:rPr>
          <w:rFonts w:asciiTheme="minorHAnsi" w:eastAsia="Times New Roman" w:hAnsiTheme="minorHAnsi" w:cs="Times New Roman"/>
          <w:sz w:val="24"/>
          <w:szCs w:val="24"/>
        </w:rPr>
      </w:pPr>
      <w:r w:rsidRPr="00FE02FB">
        <w:rPr>
          <w:rFonts w:asciiTheme="minorHAnsi" w:eastAsia="Times New Roman" w:hAnsiTheme="minorHAnsi" w:cs="Times New Roman"/>
        </w:rPr>
        <w:t xml:space="preserve">lékaři, kteří absolvovali vzdělávání v příslušném základním kmeni </w:t>
      </w:r>
      <w:r w:rsidRPr="00FE02FB">
        <w:rPr>
          <w:rFonts w:asciiTheme="minorHAnsi" w:eastAsia="Times New Roman" w:hAnsiTheme="minorHAnsi" w:cs="Times New Roman"/>
          <w:u w:val="single"/>
        </w:rPr>
        <w:t>podle vzdělávacích programů</w:t>
      </w:r>
      <w:r w:rsidRPr="00FE02FB">
        <w:rPr>
          <w:rFonts w:asciiTheme="minorHAnsi" w:eastAsia="Times New Roman" w:hAnsiTheme="minorHAnsi" w:cs="Times New Roman"/>
        </w:rPr>
        <w:t xml:space="preserve"> </w:t>
      </w:r>
      <w:r w:rsidRPr="00FE02FB">
        <w:rPr>
          <w:rFonts w:asciiTheme="minorHAnsi" w:eastAsia="Times New Roman" w:hAnsiTheme="minorHAnsi" w:cs="Times New Roman"/>
          <w:u w:val="single"/>
        </w:rPr>
        <w:t>platných před 30. 6. 2017</w:t>
      </w:r>
      <w:r>
        <w:rPr>
          <w:rStyle w:val="Ukotvenpoznmkypodarou"/>
          <w:rFonts w:asciiTheme="minorHAnsi" w:eastAsia="Times New Roman" w:hAnsiTheme="minorHAnsi" w:cs="Times New Roman"/>
          <w:u w:val="single"/>
        </w:rPr>
        <w:footnoteReference w:id="1"/>
      </w:r>
      <w:r w:rsidRPr="00FE02FB">
        <w:rPr>
          <w:rFonts w:asciiTheme="minorHAnsi" w:eastAsia="Times New Roman" w:hAnsiTheme="minorHAnsi" w:cs="Times New Roman"/>
        </w:rPr>
        <w:t xml:space="preserve"> a kteří v příslušném základním kmeni neabsolvovali</w:t>
      </w:r>
      <w:r>
        <w:rPr>
          <w:rStyle w:val="Ukotvenpoznmkypodarou"/>
          <w:rFonts w:asciiTheme="minorHAnsi" w:eastAsia="Times New Roman" w:hAnsiTheme="minorHAnsi" w:cs="Times New Roman"/>
        </w:rPr>
        <w:footnoteReference w:id="2"/>
      </w:r>
      <w:r w:rsidRPr="00FE02FB">
        <w:rPr>
          <w:rFonts w:asciiTheme="minorHAnsi" w:eastAsia="Times New Roman" w:hAnsiTheme="minorHAnsi" w:cs="Times New Roman"/>
        </w:rPr>
        <w:t xml:space="preserve"> teoretickou část vzdělávání, se </w:t>
      </w:r>
      <w:r w:rsidRPr="00FE02FB">
        <w:rPr>
          <w:rFonts w:asciiTheme="minorHAnsi" w:eastAsia="Times New Roman" w:hAnsiTheme="minorHAnsi" w:cs="Times New Roman"/>
          <w:u w:val="single"/>
        </w:rPr>
        <w:t>mohou účastnit teoretické části vzdělávání</w:t>
      </w:r>
      <w:r w:rsidRPr="00FE02FB">
        <w:rPr>
          <w:rFonts w:asciiTheme="minorHAnsi" w:eastAsia="Times New Roman" w:hAnsiTheme="minorHAnsi" w:cs="Times New Roman"/>
        </w:rPr>
        <w:t>:</w:t>
      </w:r>
      <w:r>
        <w:rPr>
          <w:rStyle w:val="Ukotvenpoznmkypodarou"/>
          <w:rFonts w:asciiTheme="minorHAnsi" w:eastAsia="Times New Roman" w:hAnsiTheme="minorHAnsi" w:cs="Times New Roman"/>
        </w:rPr>
        <w:footnoteReference w:id="3"/>
      </w:r>
      <w:r w:rsidRPr="00FE02FB">
        <w:rPr>
          <w:rFonts w:asciiTheme="minorHAnsi" w:eastAsia="Times New Roman" w:hAnsiTheme="minorHAnsi" w:cs="Times New Roman"/>
        </w:rPr>
        <w:t xml:space="preserve"> </w:t>
      </w:r>
    </w:p>
    <w:tbl>
      <w:tblPr>
        <w:tblW w:w="8509" w:type="dxa"/>
        <w:tblInd w:w="6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6521"/>
        <w:gridCol w:w="1988"/>
      </w:tblGrid>
      <w:tr w:rsidR="00942744" w14:paraId="2BADABD1" w14:textId="77777777" w:rsidTr="007349A3">
        <w:trPr>
          <w:trHeight w:val="569"/>
          <w:tblHeader/>
        </w:trPr>
        <w:tc>
          <w:tcPr>
            <w:tcW w:w="6521"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vAlign w:val="center"/>
          </w:tcPr>
          <w:p w14:paraId="7175446C" w14:textId="7226FA41" w:rsidR="00942744" w:rsidRDefault="007211E8" w:rsidP="007349A3">
            <w:pPr>
              <w:widowControl w:val="0"/>
              <w:spacing w:after="288" w:line="240" w:lineRule="auto"/>
              <w:contextualSpacing/>
              <w:jc w:val="center"/>
              <w:rPr>
                <w:rFonts w:asciiTheme="minorHAnsi" w:eastAsia="Times New Roman" w:hAnsiTheme="minorHAnsi" w:cs="Times New Roman"/>
                <w:b/>
                <w:sz w:val="24"/>
                <w:szCs w:val="24"/>
              </w:rPr>
            </w:pPr>
            <w:r>
              <w:rPr>
                <w:rFonts w:asciiTheme="minorHAnsi" w:eastAsia="Times New Roman" w:hAnsiTheme="minorHAnsi" w:cs="Times New Roman"/>
                <w:b/>
                <w:sz w:val="24"/>
                <w:szCs w:val="24"/>
              </w:rPr>
              <w:lastRenderedPageBreak/>
              <w:t>Klíčová aktivita v</w:t>
            </w:r>
            <w:r w:rsidR="00486972">
              <w:rPr>
                <w:rFonts w:asciiTheme="minorHAnsi" w:eastAsia="Times New Roman" w:hAnsiTheme="minorHAnsi" w:cs="Times New Roman"/>
                <w:b/>
                <w:sz w:val="24"/>
                <w:szCs w:val="24"/>
              </w:rPr>
              <w:t> </w:t>
            </w:r>
            <w:r>
              <w:rPr>
                <w:rFonts w:asciiTheme="minorHAnsi" w:eastAsia="Times New Roman" w:hAnsiTheme="minorHAnsi" w:cs="Times New Roman"/>
                <w:b/>
                <w:sz w:val="24"/>
                <w:szCs w:val="24"/>
              </w:rPr>
              <w:t>Projektu</w:t>
            </w:r>
          </w:p>
        </w:tc>
        <w:tc>
          <w:tcPr>
            <w:tcW w:w="1988"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vAlign w:val="center"/>
          </w:tcPr>
          <w:p w14:paraId="3ACED427" w14:textId="77777777" w:rsidR="00942744" w:rsidRDefault="007211E8" w:rsidP="007349A3">
            <w:pPr>
              <w:widowControl w:val="0"/>
              <w:spacing w:after="288" w:line="240" w:lineRule="auto"/>
              <w:contextualSpacing/>
              <w:jc w:val="center"/>
              <w:rPr>
                <w:rFonts w:asciiTheme="minorHAnsi" w:eastAsia="Times New Roman" w:hAnsiTheme="minorHAnsi" w:cs="Times New Roman"/>
                <w:sz w:val="24"/>
                <w:szCs w:val="24"/>
              </w:rPr>
            </w:pPr>
            <w:r>
              <w:rPr>
                <w:rFonts w:asciiTheme="minorHAnsi" w:eastAsia="Times New Roman" w:hAnsiTheme="minorHAnsi" w:cs="Times New Roman"/>
                <w:b/>
                <w:sz w:val="24"/>
                <w:szCs w:val="24"/>
              </w:rPr>
              <w:t>Časová dotace</w:t>
            </w:r>
          </w:p>
        </w:tc>
      </w:tr>
      <w:tr w:rsidR="00942744" w14:paraId="41DEBE10" w14:textId="77777777" w:rsidTr="007349A3">
        <w:trPr>
          <w:trHeight w:val="380"/>
        </w:trPr>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0A54DFD" w14:textId="35057C83"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KA1 </w:t>
            </w:r>
            <w:r w:rsidR="00263FBF">
              <w:rPr>
                <w:rFonts w:asciiTheme="minorHAnsi" w:eastAsia="Times New Roman" w:hAnsiTheme="minorHAnsi" w:cs="Times New Roman"/>
              </w:rPr>
              <w:t>–</w:t>
            </w:r>
            <w:r>
              <w:rPr>
                <w:rFonts w:asciiTheme="minorHAnsi" w:eastAsia="Times New Roman" w:hAnsiTheme="minorHAnsi" w:cs="Times New Roman"/>
              </w:rPr>
              <w:t xml:space="preserve"> Lékařská první pomoc (kurz)</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0ADAD51"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20 hod</w:t>
            </w:r>
          </w:p>
        </w:tc>
      </w:tr>
      <w:tr w:rsidR="00942744" w14:paraId="57AF596F" w14:textId="77777777" w:rsidTr="007349A3">
        <w:trPr>
          <w:trHeight w:val="420"/>
        </w:trPr>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92E4A26" w14:textId="7AEF2E27"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KA2 </w:t>
            </w:r>
            <w:r w:rsidR="00263FBF">
              <w:rPr>
                <w:rFonts w:asciiTheme="minorHAnsi" w:eastAsia="Times New Roman" w:hAnsiTheme="minorHAnsi" w:cs="Times New Roman"/>
              </w:rPr>
              <w:t>–</w:t>
            </w:r>
            <w:r>
              <w:rPr>
                <w:rFonts w:asciiTheme="minorHAnsi" w:eastAsia="Times New Roman" w:hAnsiTheme="minorHAnsi" w:cs="Times New Roman"/>
              </w:rPr>
              <w:t xml:space="preserve"> Základy zdrav. legislativy, etiky a komunikace (kurz)</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FDF6195"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12 hod</w:t>
            </w:r>
          </w:p>
        </w:tc>
      </w:tr>
      <w:tr w:rsidR="00942744" w14:paraId="5ED2C312" w14:textId="77777777" w:rsidTr="007349A3">
        <w:trPr>
          <w:trHeight w:val="360"/>
        </w:trPr>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D06DC06" w14:textId="2B6B3153"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KA3 </w:t>
            </w:r>
            <w:r w:rsidR="00263FBF">
              <w:rPr>
                <w:rFonts w:asciiTheme="minorHAnsi" w:eastAsia="Times New Roman" w:hAnsiTheme="minorHAnsi" w:cs="Times New Roman"/>
              </w:rPr>
              <w:t>–</w:t>
            </w:r>
            <w:r>
              <w:rPr>
                <w:rFonts w:asciiTheme="minorHAnsi" w:eastAsia="Times New Roman" w:hAnsiTheme="minorHAnsi" w:cs="Times New Roman"/>
              </w:rPr>
              <w:t xml:space="preserve"> Prevence škodlivého užívání NL a léčba závislostí (kurz)</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B33D72E"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4 hod</w:t>
            </w:r>
          </w:p>
        </w:tc>
      </w:tr>
      <w:tr w:rsidR="00942744" w14:paraId="780AA685" w14:textId="77777777" w:rsidTr="007349A3">
        <w:trPr>
          <w:trHeight w:val="340"/>
        </w:trPr>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6926EB1" w14:textId="7B081D0A"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KA4 </w:t>
            </w:r>
            <w:r w:rsidR="00263FBF">
              <w:rPr>
                <w:rFonts w:asciiTheme="minorHAnsi" w:eastAsia="Times New Roman" w:hAnsiTheme="minorHAnsi" w:cs="Times New Roman"/>
              </w:rPr>
              <w:t>–</w:t>
            </w:r>
            <w:r>
              <w:rPr>
                <w:rFonts w:asciiTheme="minorHAnsi" w:eastAsia="Times New Roman" w:hAnsiTheme="minorHAnsi" w:cs="Times New Roman"/>
              </w:rPr>
              <w:t xml:space="preserve"> Radiační ochrana (kurz)</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AAD5E62"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4 hod</w:t>
            </w:r>
          </w:p>
        </w:tc>
      </w:tr>
      <w:tr w:rsidR="00942744" w14:paraId="651F888C" w14:textId="77777777" w:rsidTr="007349A3">
        <w:trPr>
          <w:trHeight w:val="360"/>
        </w:trPr>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BA3431D" w14:textId="50FBA0F0"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KA5 </w:t>
            </w:r>
            <w:r w:rsidR="00263FBF">
              <w:rPr>
                <w:rFonts w:asciiTheme="minorHAnsi" w:eastAsia="Times New Roman" w:hAnsiTheme="minorHAnsi" w:cs="Times New Roman"/>
              </w:rPr>
              <w:t>–</w:t>
            </w:r>
            <w:r>
              <w:rPr>
                <w:rFonts w:asciiTheme="minorHAnsi" w:eastAsia="Times New Roman" w:hAnsiTheme="minorHAnsi" w:cs="Times New Roman"/>
              </w:rPr>
              <w:t xml:space="preserve"> Novorozenecká a vývojová neurologie (kurz)</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15280AF"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25-40 hod</w:t>
            </w:r>
          </w:p>
        </w:tc>
      </w:tr>
      <w:tr w:rsidR="00942744" w14:paraId="151A7F46" w14:textId="77777777" w:rsidTr="007349A3">
        <w:trPr>
          <w:trHeight w:val="320"/>
        </w:trPr>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5C64DF0" w14:textId="772703AA"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KA6 </w:t>
            </w:r>
            <w:r w:rsidR="00263FBF">
              <w:rPr>
                <w:rFonts w:asciiTheme="minorHAnsi" w:eastAsia="Times New Roman" w:hAnsiTheme="minorHAnsi" w:cs="Times New Roman"/>
              </w:rPr>
              <w:t>–</w:t>
            </w:r>
            <w:r>
              <w:rPr>
                <w:rFonts w:asciiTheme="minorHAnsi" w:eastAsia="Times New Roman" w:hAnsiTheme="minorHAnsi" w:cs="Times New Roman"/>
              </w:rPr>
              <w:t xml:space="preserve"> Nervosvalová a </w:t>
            </w:r>
            <w:proofErr w:type="spellStart"/>
            <w:r>
              <w:rPr>
                <w:rFonts w:asciiTheme="minorHAnsi" w:eastAsia="Times New Roman" w:hAnsiTheme="minorHAnsi" w:cs="Times New Roman"/>
              </w:rPr>
              <w:t>metabol</w:t>
            </w:r>
            <w:proofErr w:type="spellEnd"/>
            <w:r>
              <w:rPr>
                <w:rFonts w:asciiTheme="minorHAnsi" w:eastAsia="Times New Roman" w:hAnsiTheme="minorHAnsi" w:cs="Times New Roman"/>
              </w:rPr>
              <w:t>. onemocnění (kurz)</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3A892F5"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25-40 hod</w:t>
            </w:r>
          </w:p>
        </w:tc>
      </w:tr>
      <w:tr w:rsidR="00942744" w14:paraId="0AFFB734" w14:textId="77777777" w:rsidTr="007349A3">
        <w:trPr>
          <w:trHeight w:val="320"/>
        </w:trPr>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49151BC" w14:textId="45E8BFE4"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KA7 </w:t>
            </w:r>
            <w:r w:rsidR="00263FBF">
              <w:rPr>
                <w:rFonts w:asciiTheme="minorHAnsi" w:eastAsia="Times New Roman" w:hAnsiTheme="minorHAnsi" w:cs="Times New Roman"/>
              </w:rPr>
              <w:t>–</w:t>
            </w:r>
            <w:r>
              <w:rPr>
                <w:rFonts w:asciiTheme="minorHAnsi" w:eastAsia="Times New Roman" w:hAnsiTheme="minorHAnsi" w:cs="Times New Roman"/>
              </w:rPr>
              <w:t xml:space="preserve"> </w:t>
            </w:r>
            <w:proofErr w:type="spellStart"/>
            <w:r>
              <w:rPr>
                <w:rFonts w:asciiTheme="minorHAnsi" w:eastAsia="Times New Roman" w:hAnsiTheme="minorHAnsi" w:cs="Times New Roman"/>
              </w:rPr>
              <w:t>Epileptologie</w:t>
            </w:r>
            <w:proofErr w:type="spellEnd"/>
            <w:r>
              <w:rPr>
                <w:rFonts w:asciiTheme="minorHAnsi" w:eastAsia="Times New Roman" w:hAnsiTheme="minorHAnsi" w:cs="Times New Roman"/>
              </w:rPr>
              <w:t>, poruchy spánku, zobrazovací metody (kurz)</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5F960B4"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25-40 hod</w:t>
            </w:r>
          </w:p>
        </w:tc>
      </w:tr>
      <w:tr w:rsidR="00942744" w14:paraId="7D9F6E7F" w14:textId="77777777" w:rsidTr="007349A3">
        <w:trPr>
          <w:trHeight w:val="340"/>
        </w:trPr>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F240941" w14:textId="2E82C915" w:rsidR="00942744" w:rsidRDefault="007211E8">
            <w:pPr>
              <w:widowControl w:val="0"/>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KA8 </w:t>
            </w:r>
            <w:r w:rsidR="00263FBF">
              <w:rPr>
                <w:rFonts w:asciiTheme="minorHAnsi" w:eastAsia="Times New Roman" w:hAnsiTheme="minorHAnsi" w:cs="Times New Roman"/>
              </w:rPr>
              <w:t>–</w:t>
            </w:r>
            <w:r>
              <w:rPr>
                <w:rFonts w:asciiTheme="minorHAnsi" w:eastAsia="Times New Roman" w:hAnsiTheme="minorHAnsi" w:cs="Times New Roman"/>
              </w:rPr>
              <w:t xml:space="preserve"> </w:t>
            </w:r>
            <w:proofErr w:type="spellStart"/>
            <w:r>
              <w:rPr>
                <w:rFonts w:asciiTheme="minorHAnsi" w:eastAsia="Times New Roman" w:hAnsiTheme="minorHAnsi" w:cs="Times New Roman"/>
              </w:rPr>
              <w:t>Movement</w:t>
            </w:r>
            <w:proofErr w:type="spellEnd"/>
            <w:r>
              <w:rPr>
                <w:rFonts w:asciiTheme="minorHAnsi" w:eastAsia="Times New Roman" w:hAnsiTheme="minorHAnsi" w:cs="Times New Roman"/>
              </w:rPr>
              <w:t xml:space="preserve"> </w:t>
            </w:r>
            <w:proofErr w:type="spellStart"/>
            <w:r>
              <w:rPr>
                <w:rFonts w:asciiTheme="minorHAnsi" w:eastAsia="Times New Roman" w:hAnsiTheme="minorHAnsi" w:cs="Times New Roman"/>
              </w:rPr>
              <w:t>disorders</w:t>
            </w:r>
            <w:proofErr w:type="spellEnd"/>
            <w:r>
              <w:rPr>
                <w:rFonts w:asciiTheme="minorHAnsi" w:eastAsia="Times New Roman" w:hAnsiTheme="minorHAnsi" w:cs="Times New Roman"/>
              </w:rPr>
              <w:t xml:space="preserve">, autoimunitní a infekční onemocnění, </w:t>
            </w:r>
            <w:proofErr w:type="spellStart"/>
            <w:r>
              <w:rPr>
                <w:rFonts w:asciiTheme="minorHAnsi" w:eastAsia="Times New Roman" w:hAnsiTheme="minorHAnsi" w:cs="Times New Roman"/>
              </w:rPr>
              <w:t>neurotrauma</w:t>
            </w:r>
            <w:proofErr w:type="spellEnd"/>
            <w:r>
              <w:rPr>
                <w:rFonts w:asciiTheme="minorHAnsi" w:eastAsia="Times New Roman" w:hAnsiTheme="minorHAnsi" w:cs="Times New Roman"/>
              </w:rPr>
              <w:t xml:space="preserve"> (kurz)</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483C166"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25-40 hod</w:t>
            </w:r>
          </w:p>
        </w:tc>
      </w:tr>
      <w:tr w:rsidR="00942744" w14:paraId="0BA78AF5" w14:textId="77777777" w:rsidTr="007349A3">
        <w:trPr>
          <w:trHeight w:val="320"/>
        </w:trPr>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85EF57F" w14:textId="553A16AD" w:rsidR="00942744" w:rsidRDefault="007211E8">
            <w:pPr>
              <w:widowControl w:val="0"/>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KA9 </w:t>
            </w:r>
            <w:r w:rsidR="00263FBF">
              <w:rPr>
                <w:rFonts w:asciiTheme="minorHAnsi" w:eastAsia="Times New Roman" w:hAnsiTheme="minorHAnsi" w:cs="Times New Roman"/>
              </w:rPr>
              <w:t>–</w:t>
            </w:r>
            <w:r>
              <w:rPr>
                <w:rFonts w:asciiTheme="minorHAnsi" w:eastAsia="Times New Roman" w:hAnsiTheme="minorHAnsi" w:cs="Times New Roman"/>
              </w:rPr>
              <w:t xml:space="preserve"> Akutní neurologie, neuropsychologie a neuropsychiatrie, </w:t>
            </w:r>
            <w:proofErr w:type="spellStart"/>
            <w:r>
              <w:rPr>
                <w:rFonts w:asciiTheme="minorHAnsi" w:eastAsia="Times New Roman" w:hAnsiTheme="minorHAnsi" w:cs="Times New Roman"/>
              </w:rPr>
              <w:t>neurorehabilitace</w:t>
            </w:r>
            <w:proofErr w:type="spellEnd"/>
            <w:r>
              <w:rPr>
                <w:rFonts w:asciiTheme="minorHAnsi" w:eastAsia="Times New Roman" w:hAnsiTheme="minorHAnsi" w:cs="Times New Roman"/>
              </w:rPr>
              <w:t>, základy klinické genetiky (kurz)</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DFCF09D"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25-40 hod</w:t>
            </w:r>
          </w:p>
        </w:tc>
      </w:tr>
      <w:tr w:rsidR="00942744" w14:paraId="5DB54FF5" w14:textId="77777777" w:rsidTr="007349A3">
        <w:trPr>
          <w:trHeight w:val="320"/>
        </w:trPr>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58A9D44" w14:textId="7282AE33"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KA10 </w:t>
            </w:r>
            <w:r w:rsidR="00263FBF">
              <w:rPr>
                <w:rFonts w:asciiTheme="minorHAnsi" w:eastAsia="Times New Roman" w:hAnsiTheme="minorHAnsi" w:cs="Times New Roman"/>
              </w:rPr>
              <w:t>–</w:t>
            </w:r>
            <w:r>
              <w:rPr>
                <w:rFonts w:asciiTheme="minorHAnsi" w:eastAsia="Times New Roman" w:hAnsiTheme="minorHAnsi" w:cs="Times New Roman"/>
              </w:rPr>
              <w:t xml:space="preserve"> Dětská neurologie (praxe)</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1BFFF63"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 xml:space="preserve">max. 18 </w:t>
            </w:r>
            <w:proofErr w:type="spellStart"/>
            <w:r>
              <w:rPr>
                <w:rFonts w:asciiTheme="minorHAnsi" w:eastAsia="Times New Roman" w:hAnsiTheme="minorHAnsi" w:cs="Times New Roman"/>
              </w:rPr>
              <w:t>měs</w:t>
            </w:r>
            <w:proofErr w:type="spellEnd"/>
          </w:p>
        </w:tc>
      </w:tr>
      <w:tr w:rsidR="00942744" w14:paraId="3DDEE1EB" w14:textId="77777777" w:rsidTr="007349A3">
        <w:trPr>
          <w:trHeight w:val="320"/>
        </w:trPr>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FC93F6D" w14:textId="35316DCA" w:rsidR="00942744" w:rsidRDefault="007211E8">
            <w:pPr>
              <w:widowControl w:val="0"/>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KA11 </w:t>
            </w:r>
            <w:r w:rsidR="00263FBF">
              <w:rPr>
                <w:rFonts w:asciiTheme="minorHAnsi" w:eastAsia="Times New Roman" w:hAnsiTheme="minorHAnsi" w:cs="Times New Roman"/>
              </w:rPr>
              <w:t>–</w:t>
            </w:r>
            <w:r>
              <w:rPr>
                <w:rFonts w:asciiTheme="minorHAnsi" w:eastAsia="Times New Roman" w:hAnsiTheme="minorHAnsi" w:cs="Times New Roman"/>
              </w:rPr>
              <w:t xml:space="preserve"> Neurologie (praxe) </w:t>
            </w:r>
            <w:r w:rsidR="00263FBF">
              <w:rPr>
                <w:rFonts w:asciiTheme="minorHAnsi" w:eastAsia="Times New Roman" w:hAnsiTheme="minorHAnsi" w:cs="Times New Roman"/>
              </w:rPr>
              <w:t>–</w:t>
            </w:r>
            <w:r>
              <w:rPr>
                <w:rFonts w:asciiTheme="minorHAnsi" w:eastAsia="Times New Roman" w:hAnsiTheme="minorHAnsi" w:cs="Times New Roman"/>
              </w:rPr>
              <w:t xml:space="preserve"> pro lékaře s pediatrickým kmenem</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692EEC6"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 xml:space="preserve">max. 5 </w:t>
            </w:r>
            <w:proofErr w:type="spellStart"/>
            <w:r>
              <w:rPr>
                <w:rFonts w:asciiTheme="minorHAnsi" w:eastAsia="Times New Roman" w:hAnsiTheme="minorHAnsi" w:cs="Times New Roman"/>
              </w:rPr>
              <w:t>měs</w:t>
            </w:r>
            <w:proofErr w:type="spellEnd"/>
            <w:r>
              <w:rPr>
                <w:rFonts w:asciiTheme="minorHAnsi" w:eastAsia="Times New Roman" w:hAnsiTheme="minorHAnsi" w:cs="Times New Roman"/>
              </w:rPr>
              <w:t xml:space="preserve"> a 2 </w:t>
            </w:r>
            <w:proofErr w:type="spellStart"/>
            <w:r>
              <w:rPr>
                <w:rFonts w:asciiTheme="minorHAnsi" w:eastAsia="Times New Roman" w:hAnsiTheme="minorHAnsi" w:cs="Times New Roman"/>
              </w:rPr>
              <w:t>týd</w:t>
            </w:r>
            <w:proofErr w:type="spellEnd"/>
          </w:p>
        </w:tc>
      </w:tr>
      <w:tr w:rsidR="00942744" w14:paraId="0DC0F87F" w14:textId="77777777" w:rsidTr="007349A3">
        <w:trPr>
          <w:trHeight w:val="320"/>
        </w:trPr>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A8DD2DB" w14:textId="2BDBF11F" w:rsidR="00942744" w:rsidRDefault="007211E8">
            <w:pPr>
              <w:widowControl w:val="0"/>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KA12 </w:t>
            </w:r>
            <w:r w:rsidR="00263FBF">
              <w:rPr>
                <w:rFonts w:asciiTheme="minorHAnsi" w:eastAsia="Times New Roman" w:hAnsiTheme="minorHAnsi" w:cs="Times New Roman"/>
              </w:rPr>
              <w:t>–</w:t>
            </w:r>
            <w:r>
              <w:rPr>
                <w:rFonts w:asciiTheme="minorHAnsi" w:eastAsia="Times New Roman" w:hAnsiTheme="minorHAnsi" w:cs="Times New Roman"/>
              </w:rPr>
              <w:t xml:space="preserve"> Pediatrie (praxe) </w:t>
            </w:r>
            <w:r w:rsidR="00263FBF">
              <w:rPr>
                <w:rFonts w:asciiTheme="minorHAnsi" w:eastAsia="Times New Roman" w:hAnsiTheme="minorHAnsi" w:cs="Times New Roman"/>
              </w:rPr>
              <w:t>–</w:t>
            </w:r>
            <w:r>
              <w:rPr>
                <w:rFonts w:asciiTheme="minorHAnsi" w:eastAsia="Times New Roman" w:hAnsiTheme="minorHAnsi" w:cs="Times New Roman"/>
              </w:rPr>
              <w:t xml:space="preserve"> pro lékaře s neurologickým kmenem</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DDEF746"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 xml:space="preserve">max. 5 </w:t>
            </w:r>
            <w:proofErr w:type="spellStart"/>
            <w:r>
              <w:rPr>
                <w:rFonts w:asciiTheme="minorHAnsi" w:eastAsia="Times New Roman" w:hAnsiTheme="minorHAnsi" w:cs="Times New Roman"/>
              </w:rPr>
              <w:t>měs</w:t>
            </w:r>
            <w:proofErr w:type="spellEnd"/>
            <w:r>
              <w:rPr>
                <w:rFonts w:asciiTheme="minorHAnsi" w:eastAsia="Times New Roman" w:hAnsiTheme="minorHAnsi" w:cs="Times New Roman"/>
              </w:rPr>
              <w:t xml:space="preserve"> a 2 </w:t>
            </w:r>
            <w:proofErr w:type="spellStart"/>
            <w:r>
              <w:rPr>
                <w:rFonts w:asciiTheme="minorHAnsi" w:eastAsia="Times New Roman" w:hAnsiTheme="minorHAnsi" w:cs="Times New Roman"/>
              </w:rPr>
              <w:t>týd</w:t>
            </w:r>
            <w:proofErr w:type="spellEnd"/>
          </w:p>
        </w:tc>
      </w:tr>
      <w:tr w:rsidR="00942744" w14:paraId="4D8BB932" w14:textId="77777777" w:rsidTr="007349A3">
        <w:trPr>
          <w:trHeight w:val="320"/>
        </w:trPr>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F09DF3A" w14:textId="294A8E77"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KA13 </w:t>
            </w:r>
            <w:r w:rsidR="00263FBF">
              <w:rPr>
                <w:rFonts w:asciiTheme="minorHAnsi" w:eastAsia="Times New Roman" w:hAnsiTheme="minorHAnsi" w:cs="Times New Roman"/>
              </w:rPr>
              <w:t>–</w:t>
            </w:r>
            <w:r>
              <w:rPr>
                <w:rFonts w:asciiTheme="minorHAnsi" w:eastAsia="Times New Roman" w:hAnsiTheme="minorHAnsi" w:cs="Times New Roman"/>
              </w:rPr>
              <w:t xml:space="preserve"> Dětská a dorostová psychiatrie (praxe)</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8C58BA9"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 xml:space="preserve">max. 2 </w:t>
            </w:r>
            <w:proofErr w:type="spellStart"/>
            <w:r>
              <w:rPr>
                <w:rFonts w:asciiTheme="minorHAnsi" w:eastAsia="Times New Roman" w:hAnsiTheme="minorHAnsi" w:cs="Times New Roman"/>
              </w:rPr>
              <w:t>týd</w:t>
            </w:r>
            <w:proofErr w:type="spellEnd"/>
          </w:p>
        </w:tc>
      </w:tr>
      <w:tr w:rsidR="00942744" w14:paraId="787CABD9" w14:textId="77777777" w:rsidTr="007349A3">
        <w:trPr>
          <w:trHeight w:val="320"/>
        </w:trPr>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44C9519" w14:textId="66810F68"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KA14 </w:t>
            </w:r>
            <w:r w:rsidR="00263FBF">
              <w:rPr>
                <w:rFonts w:asciiTheme="minorHAnsi" w:eastAsia="Times New Roman" w:hAnsiTheme="minorHAnsi" w:cs="Times New Roman"/>
              </w:rPr>
              <w:t>–</w:t>
            </w:r>
            <w:r>
              <w:rPr>
                <w:rFonts w:asciiTheme="minorHAnsi" w:eastAsia="Times New Roman" w:hAnsiTheme="minorHAnsi" w:cs="Times New Roman"/>
              </w:rPr>
              <w:t xml:space="preserve"> Atestace</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900A312"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není relevantní</w:t>
            </w:r>
          </w:p>
        </w:tc>
      </w:tr>
    </w:tbl>
    <w:p w14:paraId="0F3292FC" w14:textId="77777777" w:rsidR="00B342B1" w:rsidRDefault="00B342B1" w:rsidP="00B342B1">
      <w:pPr>
        <w:widowControl w:val="0"/>
        <w:spacing w:after="288" w:line="240" w:lineRule="auto"/>
        <w:ind w:left="1134"/>
        <w:contextualSpacing/>
        <w:jc w:val="both"/>
        <w:rPr>
          <w:rFonts w:asciiTheme="minorHAnsi" w:eastAsia="Times New Roman" w:hAnsiTheme="minorHAnsi" w:cs="Times New Roman"/>
        </w:rPr>
      </w:pPr>
    </w:p>
    <w:p w14:paraId="55ED3730" w14:textId="77777777" w:rsidR="00B342B1" w:rsidRDefault="00B342B1" w:rsidP="00B342B1">
      <w:pPr>
        <w:widowControl w:val="0"/>
        <w:numPr>
          <w:ilvl w:val="0"/>
          <w:numId w:val="3"/>
        </w:numPr>
        <w:spacing w:after="288" w:line="240" w:lineRule="auto"/>
        <w:ind w:left="1134" w:hanging="567"/>
        <w:contextualSpacing/>
        <w:jc w:val="both"/>
        <w:rPr>
          <w:rFonts w:asciiTheme="minorHAnsi" w:eastAsia="Times New Roman" w:hAnsiTheme="minorHAnsi" w:cs="Times New Roman"/>
        </w:rPr>
      </w:pPr>
      <w:r w:rsidRPr="00FE02FB">
        <w:rPr>
          <w:rFonts w:asciiTheme="minorHAnsi" w:eastAsia="Times New Roman" w:hAnsiTheme="minorHAnsi" w:cs="Times New Roman"/>
        </w:rPr>
        <w:t xml:space="preserve">lékaři, kteří absolvovali vzdělávání v příslušném základním kmeni </w:t>
      </w:r>
      <w:r w:rsidRPr="00FE02FB">
        <w:rPr>
          <w:rFonts w:asciiTheme="minorHAnsi" w:eastAsia="Times New Roman" w:hAnsiTheme="minorHAnsi" w:cs="Times New Roman"/>
          <w:u w:val="single"/>
        </w:rPr>
        <w:t>podle Vyhlášky č. 221/2018 Sb.</w:t>
      </w:r>
      <w:r w:rsidRPr="00FE02FB">
        <w:rPr>
          <w:rFonts w:asciiTheme="minorHAnsi" w:eastAsia="Times New Roman" w:hAnsiTheme="minorHAnsi" w:cs="Times New Roman"/>
        </w:rPr>
        <w:t>:</w:t>
      </w:r>
    </w:p>
    <w:tbl>
      <w:tblPr>
        <w:tblW w:w="8509" w:type="dxa"/>
        <w:tblInd w:w="6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6238"/>
        <w:gridCol w:w="2271"/>
      </w:tblGrid>
      <w:tr w:rsidR="00942744" w14:paraId="27DDC0ED" w14:textId="77777777" w:rsidTr="00B342B1">
        <w:trPr>
          <w:trHeight w:val="569"/>
          <w:tblHeader/>
        </w:trPr>
        <w:tc>
          <w:tcPr>
            <w:tcW w:w="6238"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vAlign w:val="center"/>
          </w:tcPr>
          <w:p w14:paraId="329974D4" w14:textId="77777777" w:rsidR="00942744" w:rsidRDefault="007211E8">
            <w:pPr>
              <w:widowControl w:val="0"/>
              <w:spacing w:after="288" w:line="240" w:lineRule="auto"/>
              <w:contextualSpacing/>
              <w:jc w:val="center"/>
              <w:rPr>
                <w:rFonts w:asciiTheme="minorHAnsi" w:eastAsia="Times New Roman" w:hAnsiTheme="minorHAnsi" w:cs="Times New Roman"/>
                <w:b/>
                <w:sz w:val="24"/>
                <w:szCs w:val="24"/>
              </w:rPr>
            </w:pPr>
            <w:r>
              <w:rPr>
                <w:rFonts w:asciiTheme="minorHAnsi" w:eastAsia="Times New Roman" w:hAnsiTheme="minorHAnsi" w:cs="Times New Roman"/>
                <w:b/>
                <w:sz w:val="24"/>
                <w:szCs w:val="24"/>
              </w:rPr>
              <w:t>Klíčová aktivita v Projektu</w:t>
            </w:r>
          </w:p>
        </w:tc>
        <w:tc>
          <w:tcPr>
            <w:tcW w:w="2271"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vAlign w:val="center"/>
          </w:tcPr>
          <w:p w14:paraId="4423AE2D" w14:textId="77777777" w:rsidR="00942744" w:rsidRDefault="007211E8">
            <w:pPr>
              <w:widowControl w:val="0"/>
              <w:spacing w:after="288" w:line="240" w:lineRule="auto"/>
              <w:contextualSpacing/>
              <w:jc w:val="center"/>
              <w:rPr>
                <w:rFonts w:asciiTheme="minorHAnsi" w:eastAsia="Times New Roman" w:hAnsiTheme="minorHAnsi" w:cs="Times New Roman"/>
                <w:sz w:val="24"/>
                <w:szCs w:val="24"/>
              </w:rPr>
            </w:pPr>
            <w:r>
              <w:rPr>
                <w:rFonts w:asciiTheme="minorHAnsi" w:eastAsia="Times New Roman" w:hAnsiTheme="minorHAnsi" w:cs="Times New Roman"/>
                <w:b/>
                <w:sz w:val="24"/>
                <w:szCs w:val="24"/>
              </w:rPr>
              <w:t>Časová dotace</w:t>
            </w:r>
          </w:p>
        </w:tc>
      </w:tr>
      <w:tr w:rsidR="00942744" w14:paraId="50644EA6" w14:textId="77777777" w:rsidTr="00B342B1">
        <w:trPr>
          <w:trHeight w:val="360"/>
        </w:trPr>
        <w:tc>
          <w:tcPr>
            <w:tcW w:w="62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13F1001" w14:textId="233DA9B5"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KA5 </w:t>
            </w:r>
            <w:r w:rsidR="00263FBF">
              <w:rPr>
                <w:rFonts w:asciiTheme="minorHAnsi" w:eastAsia="Times New Roman" w:hAnsiTheme="minorHAnsi" w:cs="Times New Roman"/>
              </w:rPr>
              <w:t>–</w:t>
            </w:r>
            <w:r>
              <w:rPr>
                <w:rFonts w:asciiTheme="minorHAnsi" w:eastAsia="Times New Roman" w:hAnsiTheme="minorHAnsi" w:cs="Times New Roman"/>
              </w:rPr>
              <w:t xml:space="preserve"> Novorozenecká a vývojová neurologie (kurz)</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B55A9E9"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25-40 hod</w:t>
            </w:r>
          </w:p>
        </w:tc>
      </w:tr>
      <w:tr w:rsidR="00942744" w14:paraId="523C6CA5" w14:textId="77777777" w:rsidTr="00B342B1">
        <w:trPr>
          <w:trHeight w:val="320"/>
        </w:trPr>
        <w:tc>
          <w:tcPr>
            <w:tcW w:w="62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32A1730" w14:textId="2F779128"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KA6 </w:t>
            </w:r>
            <w:r w:rsidR="00263FBF">
              <w:rPr>
                <w:rFonts w:asciiTheme="minorHAnsi" w:eastAsia="Times New Roman" w:hAnsiTheme="minorHAnsi" w:cs="Times New Roman"/>
              </w:rPr>
              <w:t>–</w:t>
            </w:r>
            <w:r>
              <w:rPr>
                <w:rFonts w:asciiTheme="minorHAnsi" w:eastAsia="Times New Roman" w:hAnsiTheme="minorHAnsi" w:cs="Times New Roman"/>
              </w:rPr>
              <w:t xml:space="preserve"> Nervosvalová a </w:t>
            </w:r>
            <w:proofErr w:type="spellStart"/>
            <w:r>
              <w:rPr>
                <w:rFonts w:asciiTheme="minorHAnsi" w:eastAsia="Times New Roman" w:hAnsiTheme="minorHAnsi" w:cs="Times New Roman"/>
              </w:rPr>
              <w:t>metabol</w:t>
            </w:r>
            <w:proofErr w:type="spellEnd"/>
            <w:r>
              <w:rPr>
                <w:rFonts w:asciiTheme="minorHAnsi" w:eastAsia="Times New Roman" w:hAnsiTheme="minorHAnsi" w:cs="Times New Roman"/>
              </w:rPr>
              <w:t>. onemocnění (kurz)</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0C860F4"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25-40 hod</w:t>
            </w:r>
          </w:p>
        </w:tc>
      </w:tr>
      <w:tr w:rsidR="00942744" w14:paraId="01210E82" w14:textId="77777777" w:rsidTr="00B342B1">
        <w:trPr>
          <w:trHeight w:val="320"/>
        </w:trPr>
        <w:tc>
          <w:tcPr>
            <w:tcW w:w="62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320E774" w14:textId="776FD97D"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KA7 </w:t>
            </w:r>
            <w:r w:rsidR="00263FBF">
              <w:rPr>
                <w:rFonts w:asciiTheme="minorHAnsi" w:eastAsia="Times New Roman" w:hAnsiTheme="minorHAnsi" w:cs="Times New Roman"/>
              </w:rPr>
              <w:t>–</w:t>
            </w:r>
            <w:r>
              <w:rPr>
                <w:rFonts w:asciiTheme="minorHAnsi" w:eastAsia="Times New Roman" w:hAnsiTheme="minorHAnsi" w:cs="Times New Roman"/>
              </w:rPr>
              <w:t xml:space="preserve"> </w:t>
            </w:r>
            <w:proofErr w:type="spellStart"/>
            <w:r>
              <w:rPr>
                <w:rFonts w:asciiTheme="minorHAnsi" w:eastAsia="Times New Roman" w:hAnsiTheme="minorHAnsi" w:cs="Times New Roman"/>
              </w:rPr>
              <w:t>Epileptologie</w:t>
            </w:r>
            <w:proofErr w:type="spellEnd"/>
            <w:r>
              <w:rPr>
                <w:rFonts w:asciiTheme="minorHAnsi" w:eastAsia="Times New Roman" w:hAnsiTheme="minorHAnsi" w:cs="Times New Roman"/>
              </w:rPr>
              <w:t>, poruchy spánku, zobrazovací metody (kurz)</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05C5476"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25-40 hod</w:t>
            </w:r>
          </w:p>
        </w:tc>
      </w:tr>
      <w:tr w:rsidR="00942744" w14:paraId="7216739D" w14:textId="77777777" w:rsidTr="00B342B1">
        <w:trPr>
          <w:trHeight w:val="340"/>
        </w:trPr>
        <w:tc>
          <w:tcPr>
            <w:tcW w:w="62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C364A52" w14:textId="6DF4D773" w:rsidR="00942744" w:rsidRDefault="007211E8">
            <w:pPr>
              <w:widowControl w:val="0"/>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KA8 </w:t>
            </w:r>
            <w:r w:rsidR="00263FBF">
              <w:rPr>
                <w:rFonts w:asciiTheme="minorHAnsi" w:eastAsia="Times New Roman" w:hAnsiTheme="minorHAnsi" w:cs="Times New Roman"/>
              </w:rPr>
              <w:t>–</w:t>
            </w:r>
            <w:r>
              <w:rPr>
                <w:rFonts w:asciiTheme="minorHAnsi" w:eastAsia="Times New Roman" w:hAnsiTheme="minorHAnsi" w:cs="Times New Roman"/>
              </w:rPr>
              <w:t xml:space="preserve"> </w:t>
            </w:r>
            <w:proofErr w:type="spellStart"/>
            <w:r>
              <w:rPr>
                <w:rFonts w:asciiTheme="minorHAnsi" w:eastAsia="Times New Roman" w:hAnsiTheme="minorHAnsi" w:cs="Times New Roman"/>
              </w:rPr>
              <w:t>Movement</w:t>
            </w:r>
            <w:proofErr w:type="spellEnd"/>
            <w:r>
              <w:rPr>
                <w:rFonts w:asciiTheme="minorHAnsi" w:eastAsia="Times New Roman" w:hAnsiTheme="minorHAnsi" w:cs="Times New Roman"/>
              </w:rPr>
              <w:t xml:space="preserve"> </w:t>
            </w:r>
            <w:proofErr w:type="spellStart"/>
            <w:r>
              <w:rPr>
                <w:rFonts w:asciiTheme="minorHAnsi" w:eastAsia="Times New Roman" w:hAnsiTheme="minorHAnsi" w:cs="Times New Roman"/>
              </w:rPr>
              <w:t>disorders</w:t>
            </w:r>
            <w:proofErr w:type="spellEnd"/>
            <w:r>
              <w:rPr>
                <w:rFonts w:asciiTheme="minorHAnsi" w:eastAsia="Times New Roman" w:hAnsiTheme="minorHAnsi" w:cs="Times New Roman"/>
              </w:rPr>
              <w:t xml:space="preserve">, autoimunitní a infekční onemocnění, </w:t>
            </w:r>
            <w:proofErr w:type="spellStart"/>
            <w:r>
              <w:rPr>
                <w:rFonts w:asciiTheme="minorHAnsi" w:eastAsia="Times New Roman" w:hAnsiTheme="minorHAnsi" w:cs="Times New Roman"/>
              </w:rPr>
              <w:t>neurotrauma</w:t>
            </w:r>
            <w:proofErr w:type="spellEnd"/>
            <w:r>
              <w:rPr>
                <w:rFonts w:asciiTheme="minorHAnsi" w:eastAsia="Times New Roman" w:hAnsiTheme="minorHAnsi" w:cs="Times New Roman"/>
              </w:rPr>
              <w:t xml:space="preserve"> (kurz)</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9CE155C"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25-40 hod</w:t>
            </w:r>
          </w:p>
        </w:tc>
      </w:tr>
      <w:tr w:rsidR="00942744" w14:paraId="6FD932D1" w14:textId="77777777" w:rsidTr="00B342B1">
        <w:trPr>
          <w:trHeight w:val="320"/>
        </w:trPr>
        <w:tc>
          <w:tcPr>
            <w:tcW w:w="62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25E3E5A" w14:textId="719D1BBA" w:rsidR="00942744" w:rsidRDefault="007211E8">
            <w:pPr>
              <w:widowControl w:val="0"/>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KA9 </w:t>
            </w:r>
            <w:r w:rsidR="00263FBF">
              <w:rPr>
                <w:rFonts w:asciiTheme="minorHAnsi" w:eastAsia="Times New Roman" w:hAnsiTheme="minorHAnsi" w:cs="Times New Roman"/>
              </w:rPr>
              <w:t>–</w:t>
            </w:r>
            <w:r>
              <w:rPr>
                <w:rFonts w:asciiTheme="minorHAnsi" w:eastAsia="Times New Roman" w:hAnsiTheme="minorHAnsi" w:cs="Times New Roman"/>
              </w:rPr>
              <w:t xml:space="preserve"> Akutní neurologie, neuropsychologie a neuropsychiatrie, </w:t>
            </w:r>
            <w:proofErr w:type="spellStart"/>
            <w:r>
              <w:rPr>
                <w:rFonts w:asciiTheme="minorHAnsi" w:eastAsia="Times New Roman" w:hAnsiTheme="minorHAnsi" w:cs="Times New Roman"/>
              </w:rPr>
              <w:t>neurorehabilitace</w:t>
            </w:r>
            <w:proofErr w:type="spellEnd"/>
            <w:r>
              <w:rPr>
                <w:rFonts w:asciiTheme="minorHAnsi" w:eastAsia="Times New Roman" w:hAnsiTheme="minorHAnsi" w:cs="Times New Roman"/>
              </w:rPr>
              <w:t>, základy klinické genetiky (kurz)</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48AE753"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25-40 hod</w:t>
            </w:r>
          </w:p>
        </w:tc>
      </w:tr>
      <w:tr w:rsidR="00942744" w14:paraId="6C897EA0" w14:textId="77777777" w:rsidTr="00B342B1">
        <w:trPr>
          <w:trHeight w:val="360"/>
        </w:trPr>
        <w:tc>
          <w:tcPr>
            <w:tcW w:w="62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A7F69B1" w14:textId="5C9DFF55"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KA10 </w:t>
            </w:r>
            <w:r w:rsidR="00263FBF">
              <w:rPr>
                <w:rFonts w:asciiTheme="minorHAnsi" w:eastAsia="Times New Roman" w:hAnsiTheme="minorHAnsi" w:cs="Times New Roman"/>
              </w:rPr>
              <w:t>–</w:t>
            </w:r>
            <w:r>
              <w:rPr>
                <w:rFonts w:asciiTheme="minorHAnsi" w:eastAsia="Times New Roman" w:hAnsiTheme="minorHAnsi" w:cs="Times New Roman"/>
              </w:rPr>
              <w:t xml:space="preserve"> Dětská neurologie (praxe)</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506AF8E"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 xml:space="preserve">max. 18 </w:t>
            </w:r>
            <w:proofErr w:type="spellStart"/>
            <w:r>
              <w:rPr>
                <w:rFonts w:asciiTheme="minorHAnsi" w:eastAsia="Times New Roman" w:hAnsiTheme="minorHAnsi" w:cs="Times New Roman"/>
              </w:rPr>
              <w:t>měs</w:t>
            </w:r>
            <w:proofErr w:type="spellEnd"/>
          </w:p>
        </w:tc>
      </w:tr>
      <w:tr w:rsidR="00942744" w14:paraId="1BA0F838" w14:textId="77777777" w:rsidTr="00B342B1">
        <w:trPr>
          <w:trHeight w:val="400"/>
        </w:trPr>
        <w:tc>
          <w:tcPr>
            <w:tcW w:w="62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1CBA81F" w14:textId="6907C593" w:rsidR="00942744" w:rsidRDefault="007211E8">
            <w:pPr>
              <w:widowControl w:val="0"/>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KA11 </w:t>
            </w:r>
            <w:r w:rsidR="00263FBF">
              <w:rPr>
                <w:rFonts w:asciiTheme="minorHAnsi" w:eastAsia="Times New Roman" w:hAnsiTheme="minorHAnsi" w:cs="Times New Roman"/>
              </w:rPr>
              <w:t>–</w:t>
            </w:r>
            <w:r>
              <w:rPr>
                <w:rFonts w:asciiTheme="minorHAnsi" w:eastAsia="Times New Roman" w:hAnsiTheme="minorHAnsi" w:cs="Times New Roman"/>
              </w:rPr>
              <w:t xml:space="preserve"> Neurologie (praxe) </w:t>
            </w:r>
            <w:r w:rsidR="00263FBF">
              <w:rPr>
                <w:rFonts w:asciiTheme="minorHAnsi" w:eastAsia="Times New Roman" w:hAnsiTheme="minorHAnsi" w:cs="Times New Roman"/>
              </w:rPr>
              <w:t>–</w:t>
            </w:r>
            <w:r>
              <w:rPr>
                <w:rFonts w:asciiTheme="minorHAnsi" w:eastAsia="Times New Roman" w:hAnsiTheme="minorHAnsi" w:cs="Times New Roman"/>
              </w:rPr>
              <w:t xml:space="preserve"> pro lékaře s pediatrickým kmenem</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CFDB1F6"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 xml:space="preserve">max. 5 </w:t>
            </w:r>
            <w:proofErr w:type="spellStart"/>
            <w:r>
              <w:rPr>
                <w:rFonts w:asciiTheme="minorHAnsi" w:eastAsia="Times New Roman" w:hAnsiTheme="minorHAnsi" w:cs="Times New Roman"/>
              </w:rPr>
              <w:t>měs</w:t>
            </w:r>
            <w:proofErr w:type="spellEnd"/>
            <w:r>
              <w:rPr>
                <w:rFonts w:asciiTheme="minorHAnsi" w:eastAsia="Times New Roman" w:hAnsiTheme="minorHAnsi" w:cs="Times New Roman"/>
              </w:rPr>
              <w:t xml:space="preserve"> a 2 </w:t>
            </w:r>
            <w:proofErr w:type="spellStart"/>
            <w:r>
              <w:rPr>
                <w:rFonts w:asciiTheme="minorHAnsi" w:eastAsia="Times New Roman" w:hAnsiTheme="minorHAnsi" w:cs="Times New Roman"/>
              </w:rPr>
              <w:t>týd</w:t>
            </w:r>
            <w:proofErr w:type="spellEnd"/>
          </w:p>
        </w:tc>
      </w:tr>
      <w:tr w:rsidR="00942744" w14:paraId="0F989832" w14:textId="77777777" w:rsidTr="00B342B1">
        <w:trPr>
          <w:trHeight w:val="320"/>
        </w:trPr>
        <w:tc>
          <w:tcPr>
            <w:tcW w:w="62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95F4B9F" w14:textId="7C65DABC" w:rsidR="00942744" w:rsidRDefault="007211E8">
            <w:pPr>
              <w:widowControl w:val="0"/>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KA12 </w:t>
            </w:r>
            <w:r w:rsidR="00263FBF">
              <w:rPr>
                <w:rFonts w:asciiTheme="minorHAnsi" w:eastAsia="Times New Roman" w:hAnsiTheme="minorHAnsi" w:cs="Times New Roman"/>
              </w:rPr>
              <w:t>–</w:t>
            </w:r>
            <w:r>
              <w:rPr>
                <w:rFonts w:asciiTheme="minorHAnsi" w:eastAsia="Times New Roman" w:hAnsiTheme="minorHAnsi" w:cs="Times New Roman"/>
              </w:rPr>
              <w:t xml:space="preserve"> Pediatrie (praxe) </w:t>
            </w:r>
            <w:r w:rsidR="00263FBF">
              <w:rPr>
                <w:rFonts w:asciiTheme="minorHAnsi" w:eastAsia="Times New Roman" w:hAnsiTheme="minorHAnsi" w:cs="Times New Roman"/>
              </w:rPr>
              <w:t>–</w:t>
            </w:r>
            <w:r>
              <w:rPr>
                <w:rFonts w:asciiTheme="minorHAnsi" w:eastAsia="Times New Roman" w:hAnsiTheme="minorHAnsi" w:cs="Times New Roman"/>
              </w:rPr>
              <w:t xml:space="preserve"> pro lékaře s neurologickým kmenem</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7E4CCFC"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 xml:space="preserve">max. 5 </w:t>
            </w:r>
            <w:proofErr w:type="spellStart"/>
            <w:r>
              <w:rPr>
                <w:rFonts w:asciiTheme="minorHAnsi" w:eastAsia="Times New Roman" w:hAnsiTheme="minorHAnsi" w:cs="Times New Roman"/>
              </w:rPr>
              <w:t>měs</w:t>
            </w:r>
            <w:proofErr w:type="spellEnd"/>
            <w:r>
              <w:rPr>
                <w:rFonts w:asciiTheme="minorHAnsi" w:eastAsia="Times New Roman" w:hAnsiTheme="minorHAnsi" w:cs="Times New Roman"/>
              </w:rPr>
              <w:t xml:space="preserve"> a 2 </w:t>
            </w:r>
            <w:proofErr w:type="spellStart"/>
            <w:r>
              <w:rPr>
                <w:rFonts w:asciiTheme="minorHAnsi" w:eastAsia="Times New Roman" w:hAnsiTheme="minorHAnsi" w:cs="Times New Roman"/>
              </w:rPr>
              <w:t>týd</w:t>
            </w:r>
            <w:proofErr w:type="spellEnd"/>
          </w:p>
        </w:tc>
      </w:tr>
      <w:tr w:rsidR="00942744" w14:paraId="308868DC" w14:textId="77777777" w:rsidTr="00B342B1">
        <w:trPr>
          <w:trHeight w:val="320"/>
        </w:trPr>
        <w:tc>
          <w:tcPr>
            <w:tcW w:w="62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C1375ED" w14:textId="18DAAE02"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KA13 </w:t>
            </w:r>
            <w:r w:rsidR="00263FBF">
              <w:rPr>
                <w:rFonts w:asciiTheme="minorHAnsi" w:eastAsia="Times New Roman" w:hAnsiTheme="minorHAnsi" w:cs="Times New Roman"/>
              </w:rPr>
              <w:t>–</w:t>
            </w:r>
            <w:r>
              <w:rPr>
                <w:rFonts w:asciiTheme="minorHAnsi" w:eastAsia="Times New Roman" w:hAnsiTheme="minorHAnsi" w:cs="Times New Roman"/>
              </w:rPr>
              <w:t xml:space="preserve"> Dětská a dorostová psychiatrie (praxe)</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19FF50A"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 xml:space="preserve"> max. 2 </w:t>
            </w:r>
            <w:proofErr w:type="spellStart"/>
            <w:r>
              <w:rPr>
                <w:rFonts w:asciiTheme="minorHAnsi" w:eastAsia="Times New Roman" w:hAnsiTheme="minorHAnsi" w:cs="Times New Roman"/>
              </w:rPr>
              <w:t>týd</w:t>
            </w:r>
            <w:proofErr w:type="spellEnd"/>
          </w:p>
        </w:tc>
      </w:tr>
      <w:tr w:rsidR="00942744" w14:paraId="067CAEF9" w14:textId="77777777" w:rsidTr="00B342B1">
        <w:trPr>
          <w:trHeight w:val="340"/>
        </w:trPr>
        <w:tc>
          <w:tcPr>
            <w:tcW w:w="62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C2B8CCC" w14:textId="287FB1D4" w:rsidR="00942744" w:rsidRDefault="007211E8">
            <w:pPr>
              <w:widowControl w:val="0"/>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 xml:space="preserve">KA14 </w:t>
            </w:r>
            <w:r w:rsidR="00263FBF">
              <w:rPr>
                <w:rFonts w:asciiTheme="minorHAnsi" w:eastAsia="Times New Roman" w:hAnsiTheme="minorHAnsi" w:cs="Times New Roman"/>
              </w:rPr>
              <w:t>–</w:t>
            </w:r>
            <w:r>
              <w:rPr>
                <w:rFonts w:asciiTheme="minorHAnsi" w:eastAsia="Times New Roman" w:hAnsiTheme="minorHAnsi" w:cs="Times New Roman"/>
              </w:rPr>
              <w:t xml:space="preserve"> Atestace</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DC555E3" w14:textId="77777777" w:rsidR="00942744" w:rsidRDefault="007211E8">
            <w:pPr>
              <w:widowControl w:val="0"/>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není relevantní</w:t>
            </w:r>
          </w:p>
        </w:tc>
      </w:tr>
    </w:tbl>
    <w:p w14:paraId="04403D19" w14:textId="77777777" w:rsidR="00110E3C" w:rsidRDefault="00110E3C" w:rsidP="00110E3C">
      <w:pPr>
        <w:pStyle w:val="Nadpis1"/>
        <w:numPr>
          <w:ilvl w:val="0"/>
          <w:numId w:val="0"/>
        </w:numPr>
        <w:ind w:left="720"/>
        <w:jc w:val="left"/>
      </w:pPr>
      <w:bookmarkStart w:id="6" w:name="_1t3h5sf"/>
      <w:bookmarkStart w:id="7" w:name="_tyjcwt"/>
      <w:bookmarkStart w:id="8" w:name="_Toc34659564"/>
      <w:bookmarkEnd w:id="6"/>
      <w:bookmarkEnd w:id="7"/>
    </w:p>
    <w:p w14:paraId="281BC7A4" w14:textId="77777777" w:rsidR="00110E3C" w:rsidRDefault="00110E3C">
      <w:pPr>
        <w:rPr>
          <w:rFonts w:asciiTheme="minorHAnsi" w:hAnsiTheme="minorHAnsi"/>
          <w:b/>
          <w:color w:val="0070C0"/>
          <w:sz w:val="32"/>
          <w:szCs w:val="32"/>
        </w:rPr>
      </w:pPr>
      <w:r>
        <w:br w:type="page"/>
      </w:r>
    </w:p>
    <w:p w14:paraId="603F2AF3" w14:textId="2F749F9B" w:rsidR="00942744" w:rsidRDefault="007211E8">
      <w:pPr>
        <w:pStyle w:val="Nadpis1"/>
        <w:numPr>
          <w:ilvl w:val="0"/>
          <w:numId w:val="9"/>
        </w:numPr>
      </w:pPr>
      <w:r>
        <w:lastRenderedPageBreak/>
        <w:t>Způsobilé výdaje</w:t>
      </w:r>
      <w:bookmarkEnd w:id="8"/>
    </w:p>
    <w:p w14:paraId="725F9BFE" w14:textId="77777777" w:rsidR="00942744" w:rsidRDefault="00942744"/>
    <w:p w14:paraId="58F058CE" w14:textId="77777777" w:rsidR="00942744" w:rsidRDefault="007211E8">
      <w:pPr>
        <w:pStyle w:val="Nadpiss2"/>
        <w:numPr>
          <w:ilvl w:val="0"/>
          <w:numId w:val="10"/>
        </w:numPr>
        <w:ind w:left="567" w:hanging="567"/>
      </w:pPr>
      <w:bookmarkStart w:id="9" w:name="_4d34og8"/>
      <w:bookmarkStart w:id="10" w:name="_Toc34659565"/>
      <w:bookmarkEnd w:id="9"/>
      <w:r>
        <w:t>Způsobilé výdaje – obecné informace</w:t>
      </w:r>
      <w:bookmarkEnd w:id="10"/>
    </w:p>
    <w:p w14:paraId="178BC8A8" w14:textId="77777777" w:rsidR="00942744" w:rsidRDefault="00942744">
      <w:pPr>
        <w:pStyle w:val="Bezmezer"/>
      </w:pPr>
    </w:p>
    <w:p w14:paraId="689D8522" w14:textId="77777777" w:rsidR="00942744" w:rsidRDefault="007211E8">
      <w:pPr>
        <w:pStyle w:val="Odstavecseseznamem"/>
        <w:widowControl w:val="0"/>
        <w:numPr>
          <w:ilvl w:val="0"/>
          <w:numId w:val="13"/>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Financovány jsou neinvestiční výdaje, které přímo souvisejí se zajištěním vzdělávacích aktivit pro účastníky dle Rozhodnutí a které je možné podle pravidel tohoto Metodického pokynu považovat za způsobilé.</w:t>
      </w:r>
    </w:p>
    <w:p w14:paraId="7E095AB7" w14:textId="77777777" w:rsidR="00942744" w:rsidRDefault="007211E8">
      <w:pPr>
        <w:pStyle w:val="Odstavecseseznamem"/>
        <w:widowControl w:val="0"/>
        <w:numPr>
          <w:ilvl w:val="0"/>
          <w:numId w:val="13"/>
        </w:numPr>
        <w:spacing w:after="100"/>
        <w:ind w:left="567" w:hanging="567"/>
        <w:jc w:val="both"/>
        <w:rPr>
          <w:rFonts w:asciiTheme="minorHAnsi" w:eastAsia="Times New Roman" w:hAnsiTheme="minorHAnsi" w:cs="Times New Roman"/>
        </w:rPr>
      </w:pPr>
      <w:r>
        <w:rPr>
          <w:rFonts w:asciiTheme="minorHAnsi" w:eastAsia="Times New Roman" w:hAnsiTheme="minorHAnsi" w:cs="Times New Roman"/>
        </w:rPr>
        <w:t>Způsobilý výdaj je takový, který:</w:t>
      </w:r>
    </w:p>
    <w:p w14:paraId="47EA17DD" w14:textId="77777777" w:rsidR="00942744" w:rsidRDefault="007211E8">
      <w:pPr>
        <w:pStyle w:val="Odstavecseseznamem"/>
        <w:widowControl w:val="0"/>
        <w:numPr>
          <w:ilvl w:val="1"/>
          <w:numId w:val="12"/>
        </w:numPr>
        <w:spacing w:after="200"/>
        <w:ind w:left="1134" w:hanging="567"/>
        <w:jc w:val="both"/>
        <w:rPr>
          <w:rFonts w:asciiTheme="minorHAnsi" w:eastAsia="Times New Roman" w:hAnsiTheme="minorHAnsi" w:cs="Times New Roman"/>
        </w:rPr>
      </w:pPr>
      <w:r>
        <w:rPr>
          <w:rFonts w:asciiTheme="minorHAnsi" w:eastAsia="Times New Roman" w:hAnsiTheme="minorHAnsi" w:cs="Times New Roman"/>
        </w:rPr>
        <w:t>je v souladu s právními předpisy (tj. zejména legislativou EU a ČR),</w:t>
      </w:r>
    </w:p>
    <w:p w14:paraId="7AA25D03" w14:textId="77777777" w:rsidR="00942744" w:rsidRDefault="007211E8">
      <w:pPr>
        <w:pStyle w:val="Odstavecseseznamem"/>
        <w:widowControl w:val="0"/>
        <w:numPr>
          <w:ilvl w:val="1"/>
          <w:numId w:val="12"/>
        </w:numPr>
        <w:spacing w:after="200"/>
        <w:ind w:left="1134" w:hanging="567"/>
        <w:jc w:val="both"/>
        <w:rPr>
          <w:rFonts w:asciiTheme="minorHAnsi" w:eastAsia="Times New Roman" w:hAnsiTheme="minorHAnsi" w:cs="Times New Roman"/>
        </w:rPr>
      </w:pPr>
      <w:r>
        <w:rPr>
          <w:rFonts w:asciiTheme="minorHAnsi" w:eastAsia="Times New Roman" w:hAnsiTheme="minorHAnsi" w:cs="Times New Roman"/>
        </w:rPr>
        <w:t>je v souladu s pravidly Metodického pokynu a s Rozhodnutím,</w:t>
      </w:r>
    </w:p>
    <w:p w14:paraId="41D7333A" w14:textId="77777777" w:rsidR="00942744" w:rsidRDefault="007211E8">
      <w:pPr>
        <w:pStyle w:val="Odstavecseseznamem"/>
        <w:widowControl w:val="0"/>
        <w:numPr>
          <w:ilvl w:val="1"/>
          <w:numId w:val="12"/>
        </w:numPr>
        <w:spacing w:after="200"/>
        <w:ind w:left="1134" w:hanging="567"/>
        <w:jc w:val="both"/>
        <w:rPr>
          <w:rFonts w:asciiTheme="minorHAnsi" w:eastAsia="Times New Roman" w:hAnsiTheme="minorHAnsi" w:cs="Times New Roman"/>
        </w:rPr>
      </w:pPr>
      <w:r>
        <w:rPr>
          <w:rFonts w:asciiTheme="minorHAnsi" w:eastAsia="Times New Roman" w:hAnsiTheme="minorHAnsi" w:cs="Times New Roman"/>
        </w:rPr>
        <w:t>je přiměřený (viz níže),</w:t>
      </w:r>
    </w:p>
    <w:p w14:paraId="77D50AB7" w14:textId="77777777" w:rsidR="00942744" w:rsidRDefault="007211E8">
      <w:pPr>
        <w:pStyle w:val="Odstavecseseznamem"/>
        <w:widowControl w:val="0"/>
        <w:numPr>
          <w:ilvl w:val="1"/>
          <w:numId w:val="12"/>
        </w:numPr>
        <w:spacing w:after="200"/>
        <w:ind w:left="1134" w:hanging="567"/>
        <w:jc w:val="both"/>
        <w:rPr>
          <w:rFonts w:asciiTheme="minorHAnsi" w:eastAsia="Times New Roman" w:hAnsiTheme="minorHAnsi" w:cs="Times New Roman"/>
        </w:rPr>
      </w:pPr>
      <w:r>
        <w:rPr>
          <w:rFonts w:asciiTheme="minorHAnsi" w:eastAsia="Times New Roman" w:hAnsiTheme="minorHAnsi" w:cs="Times New Roman"/>
        </w:rPr>
        <w:t>vznikl ve lhůtě stanovené v Rozhodnutí</w:t>
      </w:r>
      <w:r>
        <w:rPr>
          <w:rStyle w:val="Ukotvenpoznmkypodarou"/>
          <w:rFonts w:asciiTheme="minorHAnsi" w:eastAsia="Times New Roman" w:hAnsiTheme="minorHAnsi" w:cs="Times New Roman"/>
        </w:rPr>
        <w:footnoteReference w:id="4"/>
      </w:r>
      <w:r>
        <w:rPr>
          <w:rFonts w:asciiTheme="minorHAnsi" w:eastAsia="Times New Roman" w:hAnsiTheme="minorHAnsi" w:cs="Times New Roman"/>
        </w:rPr>
        <w:t xml:space="preserve">, </w:t>
      </w:r>
    </w:p>
    <w:p w14:paraId="4308F5BB" w14:textId="77777777" w:rsidR="00942744" w:rsidRDefault="007211E8">
      <w:pPr>
        <w:pStyle w:val="Odstavecseseznamem"/>
        <w:widowControl w:val="0"/>
        <w:numPr>
          <w:ilvl w:val="1"/>
          <w:numId w:val="12"/>
        </w:numPr>
        <w:spacing w:after="200"/>
        <w:ind w:left="1134" w:hanging="567"/>
        <w:jc w:val="both"/>
        <w:rPr>
          <w:rFonts w:asciiTheme="minorHAnsi" w:eastAsia="Times New Roman" w:hAnsiTheme="minorHAnsi" w:cs="Times New Roman"/>
        </w:rPr>
      </w:pPr>
      <w:r>
        <w:rPr>
          <w:rFonts w:asciiTheme="minorHAnsi" w:eastAsia="Times New Roman" w:hAnsiTheme="minorHAnsi" w:cs="Times New Roman"/>
        </w:rPr>
        <w:t>je řádně identifikovatelný, prokazatelný a doložitelný,</w:t>
      </w:r>
    </w:p>
    <w:p w14:paraId="49C7EC76" w14:textId="77777777" w:rsidR="00942744" w:rsidRDefault="007211E8">
      <w:pPr>
        <w:pStyle w:val="Odstavecseseznamem"/>
        <w:widowControl w:val="0"/>
        <w:numPr>
          <w:ilvl w:val="1"/>
          <w:numId w:val="12"/>
        </w:numPr>
        <w:spacing w:after="160"/>
        <w:ind w:left="1134" w:hanging="567"/>
        <w:jc w:val="both"/>
        <w:rPr>
          <w:rFonts w:asciiTheme="minorHAnsi" w:eastAsia="Times New Roman" w:hAnsiTheme="minorHAnsi" w:cs="Times New Roman"/>
        </w:rPr>
      </w:pPr>
      <w:r>
        <w:rPr>
          <w:rFonts w:asciiTheme="minorHAnsi" w:eastAsia="Times New Roman" w:hAnsiTheme="minorHAnsi" w:cs="Times New Roman"/>
        </w:rPr>
        <w:t>je nezbytný pro dosažení účelu Projektu.</w:t>
      </w:r>
    </w:p>
    <w:p w14:paraId="15C7496E" w14:textId="1F28F600" w:rsidR="00942744" w:rsidRDefault="007211E8">
      <w:pPr>
        <w:pStyle w:val="Odstavecseseznamem"/>
        <w:widowControl w:val="0"/>
        <w:numPr>
          <w:ilvl w:val="0"/>
          <w:numId w:val="13"/>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Výdaje musí být přiměřené. Přiměřeností výdaje se rozumí dosažení optimálního vztahu mezi jeho hospodárností, účelností a efektivností. Hospodárností je takové použití veřejných prostředků k zajištění stanovených úkolů s co nejnižším vynaložením těchto prostředků, a to při dodržení odpovídající kvality plněných úkolů. Efektivností je takové použití veřejných prostředků, kterým se dosáhne nejvýše možného rozsahu, kvality a přínosu plněných úkolů ve srovnání s objemem prostředků vynaložených na jejich plnění. Účelností se rozumí takové použití veřejných prostředků, které zajistí optimální míru dosažení cílů při plnění stanovených úkolů. Hospodárnost má vazbu na ceny obvyklé. V</w:t>
      </w:r>
      <w:r w:rsidR="00526CFD">
        <w:rPr>
          <w:rFonts w:asciiTheme="minorHAnsi" w:eastAsia="Times New Roman" w:hAnsiTheme="minorHAnsi" w:cs="Times New Roman"/>
        </w:rPr>
        <w:t> </w:t>
      </w:r>
      <w:r>
        <w:rPr>
          <w:rFonts w:asciiTheme="minorHAnsi" w:eastAsia="Times New Roman" w:hAnsiTheme="minorHAnsi" w:cs="Times New Roman"/>
        </w:rPr>
        <w:t>případě, že výše výdaje vykázaná Příjemcem nesplňuje požadavek souladu s principem přiměřenosti výdaje, je MZ oprávněno výdaj jako způsobilý neschválit, příp. schválit výdaj jen do určité výše.</w:t>
      </w:r>
    </w:p>
    <w:p w14:paraId="1958BD48" w14:textId="77777777" w:rsidR="00942744" w:rsidRDefault="007211E8">
      <w:pPr>
        <w:pStyle w:val="Odstavecseseznamem"/>
        <w:widowControl w:val="0"/>
        <w:numPr>
          <w:ilvl w:val="0"/>
          <w:numId w:val="13"/>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 xml:space="preserve">Způsobilými jsou ovšem pouze ty náklady, u nichž platí, že je s konečnou platností kryje Příjemce, tj. neexistuje u nich možnost, že by je jiný subjekt (než MZ) Příjemci refundoval. </w:t>
      </w:r>
    </w:p>
    <w:p w14:paraId="7C622F18" w14:textId="77777777" w:rsidR="00942744" w:rsidRDefault="007211E8">
      <w:pPr>
        <w:pStyle w:val="Odstavecseseznamem"/>
        <w:widowControl w:val="0"/>
        <w:numPr>
          <w:ilvl w:val="0"/>
          <w:numId w:val="13"/>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Za účelem zabránění dvojímu financování je Příjemce povinen zajistit označení každého originálu účetního dokladu</w:t>
      </w:r>
      <w:r>
        <w:rPr>
          <w:rStyle w:val="Ukotvenpoznmkypodarou"/>
          <w:rFonts w:asciiTheme="minorHAnsi" w:eastAsia="Times New Roman" w:hAnsiTheme="minorHAnsi" w:cs="Times New Roman"/>
        </w:rPr>
        <w:footnoteReference w:id="5"/>
      </w:r>
      <w:r>
        <w:rPr>
          <w:rFonts w:asciiTheme="minorHAnsi" w:eastAsia="Times New Roman" w:hAnsiTheme="minorHAnsi" w:cs="Times New Roman"/>
        </w:rPr>
        <w:t xml:space="preserve">, který dokládá způsobilý výdaj Projektu, registračním číslem Projektu. Označení může být provedeno vepsáním textu, razítkem apod. </w:t>
      </w:r>
    </w:p>
    <w:p w14:paraId="5DB5B7E8" w14:textId="77777777" w:rsidR="00942744" w:rsidRDefault="007211E8">
      <w:pPr>
        <w:pStyle w:val="Odstavecseseznamem"/>
        <w:widowControl w:val="0"/>
        <w:numPr>
          <w:ilvl w:val="0"/>
          <w:numId w:val="13"/>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Při kontrole průběžného vyúčtování výdajů</w:t>
      </w:r>
      <w:r>
        <w:rPr>
          <w:rStyle w:val="Ukotvenpoznmkypodarou"/>
          <w:rFonts w:asciiTheme="minorHAnsi" w:eastAsia="Times New Roman" w:hAnsiTheme="minorHAnsi" w:cs="Times New Roman"/>
        </w:rPr>
        <w:footnoteReference w:id="6"/>
      </w:r>
      <w:r>
        <w:rPr>
          <w:rFonts w:asciiTheme="minorHAnsi" w:eastAsia="Times New Roman" w:hAnsiTheme="minorHAnsi" w:cs="Times New Roman"/>
        </w:rPr>
        <w:t xml:space="preserve"> může dojít k úpravě předloženého vyúčtování výdajů (tj. tabulek Vyúčtování výdajů – realizace kurzů a praxí). </w:t>
      </w:r>
      <w:r>
        <w:br w:type="page"/>
      </w:r>
    </w:p>
    <w:p w14:paraId="1F5D39CB" w14:textId="77777777" w:rsidR="00942744" w:rsidRDefault="007211E8" w:rsidP="002230F4">
      <w:pPr>
        <w:pStyle w:val="Nadpiss2"/>
        <w:numPr>
          <w:ilvl w:val="0"/>
          <w:numId w:val="10"/>
        </w:numPr>
        <w:ind w:left="567" w:hanging="567"/>
      </w:pPr>
      <w:bookmarkStart w:id="11" w:name="_pgjiavjl0csf"/>
      <w:bookmarkStart w:id="12" w:name="_Toc34659566"/>
      <w:bookmarkEnd w:id="11"/>
      <w:r>
        <w:lastRenderedPageBreak/>
        <w:t>Způsobilé výdaje – vzdělávací aktivity</w:t>
      </w:r>
      <w:bookmarkEnd w:id="12"/>
    </w:p>
    <w:p w14:paraId="567ED38C" w14:textId="77777777" w:rsidR="00942744" w:rsidRDefault="00942744">
      <w:pPr>
        <w:pStyle w:val="Bezmezer"/>
      </w:pPr>
    </w:p>
    <w:p w14:paraId="5A86818B" w14:textId="4B387BB9" w:rsidR="00942744" w:rsidRDefault="007211E8">
      <w:pPr>
        <w:pStyle w:val="Odstavecseseznamem"/>
        <w:widowControl w:val="0"/>
        <w:numPr>
          <w:ilvl w:val="0"/>
          <w:numId w:val="14"/>
        </w:numPr>
        <w:shd w:val="clear" w:color="auto" w:fill="FFFFFF"/>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 xml:space="preserve">Časová dotace/Délka vzdělávací aktivity se vyjadřuje v hodinách (jakožto jednotkách času o délce 60 minut). Do doby vzdělávání nelze řadit přestávku na jídlo a oddech ve smyslu § 88 zákona č. 262/2006 Sb., zákoník práce, ve znění pozdějších předpisů (dále jen „Zákoník práce”). </w:t>
      </w:r>
    </w:p>
    <w:p w14:paraId="7524899C" w14:textId="77777777" w:rsidR="00942744" w:rsidRDefault="007211E8">
      <w:pPr>
        <w:pStyle w:val="Odstavecseseznamem"/>
        <w:widowControl w:val="0"/>
        <w:numPr>
          <w:ilvl w:val="0"/>
          <w:numId w:val="14"/>
        </w:numPr>
        <w:shd w:val="clear" w:color="auto" w:fill="FFFFFF"/>
        <w:spacing w:after="200"/>
        <w:ind w:left="567" w:hanging="567"/>
        <w:jc w:val="both"/>
        <w:rPr>
          <w:rFonts w:asciiTheme="minorHAnsi" w:eastAsia="Times New Roman" w:hAnsiTheme="minorHAnsi" w:cs="Times New Roman"/>
        </w:rPr>
      </w:pPr>
      <w:r>
        <w:rPr>
          <w:rFonts w:asciiTheme="minorHAnsi" w:eastAsia="Times New Roman" w:hAnsiTheme="minorHAnsi" w:cs="Times New Roman"/>
          <w:b/>
        </w:rPr>
        <w:t>Časové dotace pro jednotlivé vzdělávací aktivity</w:t>
      </w:r>
      <w:r>
        <w:rPr>
          <w:rFonts w:asciiTheme="minorHAnsi" w:eastAsia="Times New Roman" w:hAnsiTheme="minorHAnsi" w:cs="Times New Roman"/>
        </w:rPr>
        <w:t xml:space="preserve"> jsou pro určení způsobilých výdajů v Projektu stanoveny v kapitole Zapojení účastníků do klíčových aktivit. U KA 1 až KA 4 (tj. kurzů realizovaných Institutem pro postgraduální vzdělávání ve zdravotnictví, dále jen „IPVZ“) jsou stanoveny pevně</w:t>
      </w:r>
      <w:r>
        <w:rPr>
          <w:rStyle w:val="Ukotvenpoznmkypodarou"/>
          <w:rFonts w:asciiTheme="minorHAnsi" w:eastAsia="Times New Roman" w:hAnsiTheme="minorHAnsi" w:cs="Times New Roman"/>
        </w:rPr>
        <w:footnoteReference w:id="7"/>
      </w:r>
      <w:r>
        <w:rPr>
          <w:rFonts w:asciiTheme="minorHAnsi" w:eastAsia="Times New Roman" w:hAnsiTheme="minorHAnsi" w:cs="Times New Roman"/>
        </w:rPr>
        <w:t>, u KA 5 až KA 9 (tj. u ostatních kurzů) je stanoveno přípustné rozmezí, kdy skutečná účast závisí na délce konkrétního kurzu v rámci tohoto rozmezí. U KA 10 až KA 13 (tj. u praxí) jsou stanoveny maximální limity</w:t>
      </w:r>
      <w:r>
        <w:rPr>
          <w:rStyle w:val="Ukotvenpoznmkypodarou"/>
          <w:rFonts w:asciiTheme="minorHAnsi" w:eastAsia="Times New Roman" w:hAnsiTheme="minorHAnsi" w:cs="Times New Roman"/>
        </w:rPr>
        <w:footnoteReference w:id="8"/>
      </w:r>
      <w:r>
        <w:rPr>
          <w:rFonts w:asciiTheme="minorHAnsi" w:eastAsia="Times New Roman" w:hAnsiTheme="minorHAnsi" w:cs="Times New Roman"/>
        </w:rPr>
        <w:t xml:space="preserve"> </w:t>
      </w:r>
      <w:r>
        <w:rPr>
          <w:rStyle w:val="Ukotvenpoznmkypodarou"/>
          <w:rFonts w:asciiTheme="minorHAnsi" w:eastAsia="Times New Roman" w:hAnsiTheme="minorHAnsi" w:cs="Times New Roman"/>
        </w:rPr>
        <w:footnoteReference w:id="9"/>
      </w:r>
      <w:r>
        <w:rPr>
          <w:rFonts w:asciiTheme="minorHAnsi" w:eastAsia="Times New Roman" w:hAnsiTheme="minorHAnsi" w:cs="Times New Roman"/>
        </w:rPr>
        <w:t>, kdy skutečná účast závisí na již absolvovaném vzdělání konkrétního účastníka před vstupem do Projektu.</w:t>
      </w:r>
    </w:p>
    <w:p w14:paraId="15C016E4" w14:textId="77777777" w:rsidR="00942744" w:rsidRDefault="007211E8">
      <w:pPr>
        <w:pStyle w:val="Odstavecseseznamem"/>
        <w:widowControl w:val="0"/>
        <w:numPr>
          <w:ilvl w:val="0"/>
          <w:numId w:val="14"/>
        </w:numPr>
        <w:shd w:val="clear" w:color="auto" w:fill="FFFFFF"/>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 xml:space="preserve">Náklady na vzdělávací aktivity jsou způsobilé, pokud se přímo vztahují k výše uvedeným časovým dotacím. </w:t>
      </w:r>
    </w:p>
    <w:p w14:paraId="053AEDFE" w14:textId="77777777" w:rsidR="00942744" w:rsidRDefault="007211E8">
      <w:pPr>
        <w:pStyle w:val="Odstavecseseznamem"/>
        <w:numPr>
          <w:ilvl w:val="0"/>
          <w:numId w:val="14"/>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Výdaje spojené s účastí na KA 1 až KA 9 (tj. kurzů) mohou být proplaceny pouze jednou</w:t>
      </w:r>
      <w:r>
        <w:rPr>
          <w:rStyle w:val="Ukotvenpoznmkypodarou"/>
          <w:rFonts w:asciiTheme="minorHAnsi" w:eastAsia="Times New Roman" w:hAnsiTheme="minorHAnsi" w:cs="Times New Roman"/>
        </w:rPr>
        <w:footnoteReference w:id="10"/>
      </w:r>
      <w:r>
        <w:rPr>
          <w:rFonts w:asciiTheme="minorHAnsi" w:eastAsia="Times New Roman" w:hAnsiTheme="minorHAnsi" w:cs="Times New Roman"/>
        </w:rPr>
        <w:t>, a to až po úplném absolvování</w:t>
      </w:r>
      <w:r>
        <w:rPr>
          <w:rStyle w:val="Ukotvenpoznmkypodarou"/>
          <w:rFonts w:asciiTheme="minorHAnsi" w:eastAsia="Times New Roman" w:hAnsiTheme="minorHAnsi" w:cs="Times New Roman"/>
        </w:rPr>
        <w:footnoteReference w:id="11"/>
      </w:r>
      <w:r>
        <w:rPr>
          <w:rFonts w:asciiTheme="minorHAnsi" w:eastAsia="Times New Roman" w:hAnsiTheme="minorHAnsi" w:cs="Times New Roman"/>
        </w:rPr>
        <w:t xml:space="preserve"> </w:t>
      </w:r>
      <w:r>
        <w:rPr>
          <w:rStyle w:val="Ukotvenpoznmkypodarou"/>
          <w:rFonts w:asciiTheme="minorHAnsi" w:eastAsia="Times New Roman" w:hAnsiTheme="minorHAnsi" w:cs="Times New Roman"/>
        </w:rPr>
        <w:footnoteReference w:id="12"/>
      </w:r>
      <w:r>
        <w:rPr>
          <w:rFonts w:asciiTheme="minorHAnsi" w:eastAsia="Times New Roman" w:hAnsiTheme="minorHAnsi" w:cs="Times New Roman"/>
        </w:rPr>
        <w:t xml:space="preserve"> daného kurzu účastníkem. </w:t>
      </w:r>
    </w:p>
    <w:p w14:paraId="40C8CF7D" w14:textId="77777777" w:rsidR="00942744" w:rsidRDefault="00942744">
      <w:pPr>
        <w:pStyle w:val="Odstavecseseznamem"/>
        <w:spacing w:after="200"/>
        <w:ind w:left="567"/>
        <w:jc w:val="both"/>
        <w:rPr>
          <w:rFonts w:asciiTheme="minorHAnsi" w:eastAsia="Times New Roman" w:hAnsiTheme="minorHAnsi" w:cs="Times New Roman"/>
        </w:rPr>
      </w:pPr>
    </w:p>
    <w:p w14:paraId="72CCBA4F" w14:textId="77777777" w:rsidR="00942744" w:rsidRDefault="007211E8">
      <w:pPr>
        <w:pStyle w:val="Nadpiss2"/>
        <w:numPr>
          <w:ilvl w:val="0"/>
          <w:numId w:val="8"/>
        </w:numPr>
        <w:ind w:left="924" w:hanging="567"/>
      </w:pPr>
      <w:bookmarkStart w:id="13" w:name="_2s8eyo1"/>
      <w:bookmarkStart w:id="14" w:name="_Toc34659567"/>
      <w:bookmarkEnd w:id="13"/>
      <w:r>
        <w:t>Maximální limity pro vzdělávací aktivity</w:t>
      </w:r>
      <w:bookmarkEnd w:id="14"/>
    </w:p>
    <w:p w14:paraId="331468FA" w14:textId="77777777" w:rsidR="00942744" w:rsidRDefault="00942744">
      <w:pPr>
        <w:pStyle w:val="Bezmezer"/>
      </w:pPr>
    </w:p>
    <w:p w14:paraId="310C1776" w14:textId="1325F495" w:rsidR="00942744" w:rsidRDefault="007211E8">
      <w:pPr>
        <w:pStyle w:val="Odstavecseseznamem"/>
        <w:numPr>
          <w:ilvl w:val="2"/>
          <w:numId w:val="8"/>
        </w:numPr>
        <w:spacing w:after="288" w:line="240" w:lineRule="auto"/>
        <w:ind w:left="567" w:hanging="567"/>
        <w:jc w:val="both"/>
        <w:rPr>
          <w:rFonts w:asciiTheme="minorHAnsi" w:eastAsia="Times New Roman" w:hAnsiTheme="minorHAnsi" w:cs="Times New Roman"/>
        </w:rPr>
      </w:pPr>
      <w:bookmarkStart w:id="15" w:name="_17dp8vu"/>
      <w:bookmarkEnd w:id="15"/>
      <w:r>
        <w:rPr>
          <w:rFonts w:asciiTheme="minorHAnsi" w:eastAsia="Times New Roman" w:hAnsiTheme="minorHAnsi" w:cs="Times New Roman"/>
        </w:rPr>
        <w:t xml:space="preserve">Jedná se o maximální částku, která může být uznána jako způsobilá za kurz za jednoho účastníka, příp. za den/měsíc praxe za jednoho účastníka. </w:t>
      </w:r>
      <w:r>
        <w:rPr>
          <w:rFonts w:asciiTheme="minorHAnsi" w:eastAsia="Times New Roman" w:hAnsiTheme="minorHAnsi" w:cs="Times New Roman"/>
          <w:b/>
        </w:rPr>
        <w:t>Nejedná se o paušální cenu.</w:t>
      </w:r>
      <w:bookmarkStart w:id="16" w:name="_3rdcrjn"/>
      <w:bookmarkEnd w:id="16"/>
      <w:r>
        <w:rPr>
          <w:rFonts w:asciiTheme="minorHAnsi" w:eastAsia="Times New Roman" w:hAnsiTheme="minorHAnsi" w:cs="Times New Roman"/>
        </w:rPr>
        <w:t xml:space="preserve"> </w:t>
      </w:r>
    </w:p>
    <w:p w14:paraId="37ECDF23" w14:textId="77777777" w:rsidR="00942744" w:rsidRDefault="007211E8">
      <w:pPr>
        <w:pStyle w:val="Odstavecseseznamem"/>
        <w:numPr>
          <w:ilvl w:val="2"/>
          <w:numId w:val="8"/>
        </w:numPr>
        <w:spacing w:after="288" w:line="240" w:lineRule="auto"/>
        <w:ind w:left="567" w:hanging="567"/>
        <w:jc w:val="both"/>
        <w:rPr>
          <w:rFonts w:asciiTheme="minorHAnsi" w:eastAsia="Times New Roman" w:hAnsiTheme="minorHAnsi" w:cs="Times New Roman"/>
        </w:rPr>
      </w:pPr>
      <w:r>
        <w:rPr>
          <w:rFonts w:asciiTheme="minorHAnsi" w:eastAsia="Times New Roman" w:hAnsiTheme="minorHAnsi" w:cs="Times New Roman"/>
          <w:b/>
        </w:rPr>
        <w:t>Maximální limity kurzů</w:t>
      </w:r>
      <w:r>
        <w:rPr>
          <w:rFonts w:asciiTheme="minorHAnsi" w:eastAsia="Times New Roman" w:hAnsiTheme="minorHAnsi" w:cs="Times New Roman"/>
        </w:rPr>
        <w:t xml:space="preserve"> zahrnují plat školícího lektora, náklady na materiál, na občerstvení a režijní náklady a případné daně. Limit pro občerstvení pro účastníky po dobu trvání výuky je stanoven na 150,- Kč na osobu a den. Součástí limitu jsou dále náklady na činnosti spojené s realizací vzdělávacích aktivit uvedené v Rozhodnutí.</w:t>
      </w:r>
    </w:p>
    <w:tbl>
      <w:tblPr>
        <w:tblW w:w="8505" w:type="dxa"/>
        <w:tblInd w:w="6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00" w:firstRow="0" w:lastRow="0" w:firstColumn="0" w:lastColumn="0" w:noHBand="0" w:noVBand="1"/>
      </w:tblPr>
      <w:tblGrid>
        <w:gridCol w:w="6379"/>
        <w:gridCol w:w="2126"/>
      </w:tblGrid>
      <w:tr w:rsidR="00942744" w14:paraId="60B2F9C4" w14:textId="77777777">
        <w:tc>
          <w:tcPr>
            <w:tcW w:w="637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8" w:type="dxa"/>
            </w:tcMar>
            <w:vAlign w:val="center"/>
          </w:tcPr>
          <w:p w14:paraId="15391051" w14:textId="77777777" w:rsidR="00942744" w:rsidRDefault="007211E8" w:rsidP="00F50186">
            <w:pPr>
              <w:keepNext/>
              <w:keepLines/>
              <w:spacing w:after="288" w:line="240" w:lineRule="auto"/>
              <w:contextualSpacing/>
              <w:jc w:val="center"/>
              <w:rPr>
                <w:rFonts w:asciiTheme="minorHAnsi" w:eastAsia="Times New Roman" w:hAnsiTheme="minorHAnsi" w:cs="Times New Roman"/>
                <w:b/>
                <w:sz w:val="24"/>
                <w:szCs w:val="24"/>
              </w:rPr>
            </w:pPr>
            <w:r>
              <w:rPr>
                <w:rFonts w:asciiTheme="minorHAnsi" w:eastAsia="Times New Roman" w:hAnsiTheme="minorHAnsi" w:cs="Times New Roman"/>
                <w:b/>
                <w:sz w:val="24"/>
                <w:szCs w:val="24"/>
              </w:rPr>
              <w:lastRenderedPageBreak/>
              <w:t>Vzdělávací aktivita</w:t>
            </w:r>
          </w:p>
        </w:tc>
        <w:tc>
          <w:tcPr>
            <w:tcW w:w="2126"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8" w:type="dxa"/>
            </w:tcMar>
          </w:tcPr>
          <w:p w14:paraId="4933BBA8" w14:textId="77777777" w:rsidR="00942744" w:rsidRDefault="007211E8" w:rsidP="00F50186">
            <w:pPr>
              <w:keepNext/>
              <w:keepLines/>
              <w:spacing w:after="288" w:line="240" w:lineRule="auto"/>
              <w:contextualSpacing/>
              <w:jc w:val="center"/>
              <w:rPr>
                <w:rFonts w:asciiTheme="minorHAnsi" w:eastAsia="Times New Roman" w:hAnsiTheme="minorHAnsi" w:cs="Times New Roman"/>
                <w:b/>
                <w:sz w:val="24"/>
                <w:szCs w:val="24"/>
              </w:rPr>
            </w:pPr>
            <w:r>
              <w:rPr>
                <w:rFonts w:asciiTheme="minorHAnsi" w:eastAsia="Times New Roman" w:hAnsiTheme="minorHAnsi" w:cs="Times New Roman"/>
                <w:b/>
                <w:sz w:val="24"/>
                <w:szCs w:val="24"/>
              </w:rPr>
              <w:t>Cena za jednoho účastníka</w:t>
            </w:r>
          </w:p>
        </w:tc>
      </w:tr>
      <w:tr w:rsidR="00942744" w14:paraId="500F8B80" w14:textId="77777777">
        <w:tc>
          <w:tcPr>
            <w:tcW w:w="63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D24B6F5" w14:textId="35E39A7D" w:rsidR="00942744" w:rsidRDefault="007211E8" w:rsidP="00F50186">
            <w:pPr>
              <w:keepNext/>
              <w:keepLines/>
              <w:widowControl w:val="0"/>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KA1 </w:t>
            </w:r>
            <w:r w:rsidR="00263FBF">
              <w:rPr>
                <w:rFonts w:asciiTheme="minorHAnsi" w:eastAsia="Times New Roman" w:hAnsiTheme="minorHAnsi" w:cs="Times New Roman"/>
              </w:rPr>
              <w:t>–</w:t>
            </w:r>
            <w:r>
              <w:rPr>
                <w:rFonts w:asciiTheme="minorHAnsi" w:eastAsia="Times New Roman" w:hAnsiTheme="minorHAnsi" w:cs="Times New Roman"/>
              </w:rPr>
              <w:t xml:space="preserve"> Lékařská první pomoc</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8BBE48" w14:textId="77777777" w:rsidR="00942744" w:rsidRDefault="007211E8" w:rsidP="00F50186">
            <w:pPr>
              <w:keepNext/>
              <w:keepLines/>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3.000,- Kč/kurz</w:t>
            </w:r>
          </w:p>
        </w:tc>
      </w:tr>
      <w:tr w:rsidR="00942744" w14:paraId="76244334" w14:textId="77777777">
        <w:tc>
          <w:tcPr>
            <w:tcW w:w="63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F6781F1" w14:textId="6272A6AC" w:rsidR="00942744" w:rsidRDefault="007211E8" w:rsidP="00F50186">
            <w:pPr>
              <w:keepNext/>
              <w:keepLines/>
              <w:widowControl w:val="0"/>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KA2 </w:t>
            </w:r>
            <w:r w:rsidR="00263FBF">
              <w:rPr>
                <w:rFonts w:asciiTheme="minorHAnsi" w:eastAsia="Times New Roman" w:hAnsiTheme="minorHAnsi" w:cs="Times New Roman"/>
              </w:rPr>
              <w:t>–</w:t>
            </w:r>
            <w:r>
              <w:rPr>
                <w:rFonts w:asciiTheme="minorHAnsi" w:eastAsia="Times New Roman" w:hAnsiTheme="minorHAnsi" w:cs="Times New Roman"/>
              </w:rPr>
              <w:t xml:space="preserve"> Základy zdravotnické legislativy, etiky a komunikace</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0F0EF97" w14:textId="77777777" w:rsidR="00942744" w:rsidRDefault="007211E8" w:rsidP="00F50186">
            <w:pPr>
              <w:keepNext/>
              <w:keepLines/>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2.200,- Kč/kurz</w:t>
            </w:r>
          </w:p>
        </w:tc>
      </w:tr>
      <w:tr w:rsidR="00942744" w14:paraId="1595B36F" w14:textId="77777777">
        <w:tc>
          <w:tcPr>
            <w:tcW w:w="63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8330970" w14:textId="01B55253" w:rsidR="00942744" w:rsidRDefault="007211E8">
            <w:pPr>
              <w:widowControl w:val="0"/>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KA3 </w:t>
            </w:r>
            <w:r w:rsidR="00263FBF">
              <w:rPr>
                <w:rFonts w:asciiTheme="minorHAnsi" w:eastAsia="Times New Roman" w:hAnsiTheme="minorHAnsi" w:cs="Times New Roman"/>
              </w:rPr>
              <w:t>–</w:t>
            </w:r>
            <w:r>
              <w:rPr>
                <w:rFonts w:asciiTheme="minorHAnsi" w:eastAsia="Times New Roman" w:hAnsiTheme="minorHAnsi" w:cs="Times New Roman"/>
              </w:rPr>
              <w:t xml:space="preserve"> Prevence škodlivého užívání NL a léčba závislosti</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8FE0F18" w14:textId="77777777" w:rsidR="00942744" w:rsidRDefault="007211E8">
            <w:pPr>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1.100,- Kč/kurz</w:t>
            </w:r>
          </w:p>
        </w:tc>
      </w:tr>
      <w:tr w:rsidR="00942744" w14:paraId="27E1D7BF" w14:textId="77777777">
        <w:tc>
          <w:tcPr>
            <w:tcW w:w="63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B116724" w14:textId="106E9607" w:rsidR="00942744" w:rsidRDefault="007211E8">
            <w:pPr>
              <w:widowControl w:val="0"/>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KA4 </w:t>
            </w:r>
            <w:r w:rsidR="00263FBF">
              <w:rPr>
                <w:rFonts w:asciiTheme="minorHAnsi" w:eastAsia="Times New Roman" w:hAnsiTheme="minorHAnsi" w:cs="Times New Roman"/>
              </w:rPr>
              <w:t>–</w:t>
            </w:r>
            <w:r>
              <w:rPr>
                <w:rFonts w:asciiTheme="minorHAnsi" w:eastAsia="Times New Roman" w:hAnsiTheme="minorHAnsi" w:cs="Times New Roman"/>
              </w:rPr>
              <w:t xml:space="preserve"> Radiační ochrana</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5AEA44C" w14:textId="77777777" w:rsidR="00942744" w:rsidRDefault="007211E8">
            <w:pPr>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1.200,- Kč/kurz</w:t>
            </w:r>
          </w:p>
        </w:tc>
      </w:tr>
      <w:tr w:rsidR="00942744" w14:paraId="240B7BE1" w14:textId="77777777">
        <w:tc>
          <w:tcPr>
            <w:tcW w:w="63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E1E6F97" w14:textId="72A1CF02" w:rsidR="00942744" w:rsidRDefault="007211E8">
            <w:pPr>
              <w:widowControl w:val="0"/>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KA5 </w:t>
            </w:r>
            <w:r w:rsidR="00263FBF">
              <w:rPr>
                <w:rFonts w:asciiTheme="minorHAnsi" w:eastAsia="Times New Roman" w:hAnsiTheme="minorHAnsi" w:cs="Times New Roman"/>
              </w:rPr>
              <w:t>–</w:t>
            </w:r>
            <w:r>
              <w:rPr>
                <w:rFonts w:asciiTheme="minorHAnsi" w:eastAsia="Times New Roman" w:hAnsiTheme="minorHAnsi" w:cs="Times New Roman"/>
              </w:rPr>
              <w:t xml:space="preserve"> Novorozenecká a vývojová neurologie</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0ABA5FC" w14:textId="77777777" w:rsidR="00942744" w:rsidRDefault="007211E8">
            <w:pPr>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11.500,- Kč/kurz</w:t>
            </w:r>
          </w:p>
        </w:tc>
      </w:tr>
      <w:tr w:rsidR="00942744" w14:paraId="629BF973" w14:textId="77777777">
        <w:tc>
          <w:tcPr>
            <w:tcW w:w="63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79C3D94" w14:textId="4C88491C" w:rsidR="00942744" w:rsidRDefault="007211E8">
            <w:pPr>
              <w:widowControl w:val="0"/>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KA6 </w:t>
            </w:r>
            <w:r w:rsidR="00263FBF">
              <w:rPr>
                <w:rFonts w:asciiTheme="minorHAnsi" w:eastAsia="Times New Roman" w:hAnsiTheme="minorHAnsi" w:cs="Times New Roman"/>
              </w:rPr>
              <w:t>–</w:t>
            </w:r>
            <w:r>
              <w:rPr>
                <w:rFonts w:asciiTheme="minorHAnsi" w:eastAsia="Times New Roman" w:hAnsiTheme="minorHAnsi" w:cs="Times New Roman"/>
              </w:rPr>
              <w:t xml:space="preserve"> Nervosvalová a </w:t>
            </w:r>
            <w:proofErr w:type="spellStart"/>
            <w:r>
              <w:rPr>
                <w:rFonts w:asciiTheme="minorHAnsi" w:eastAsia="Times New Roman" w:hAnsiTheme="minorHAnsi" w:cs="Times New Roman"/>
              </w:rPr>
              <w:t>metabol</w:t>
            </w:r>
            <w:proofErr w:type="spellEnd"/>
            <w:r>
              <w:rPr>
                <w:rFonts w:asciiTheme="minorHAnsi" w:eastAsia="Times New Roman" w:hAnsiTheme="minorHAnsi" w:cs="Times New Roman"/>
              </w:rPr>
              <w:t>. onemocnění</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FF3449C" w14:textId="77777777" w:rsidR="00942744" w:rsidRDefault="007211E8">
            <w:pPr>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11.500,- Kč/kurz</w:t>
            </w:r>
          </w:p>
        </w:tc>
      </w:tr>
      <w:tr w:rsidR="00942744" w14:paraId="1F5463A8" w14:textId="77777777">
        <w:tc>
          <w:tcPr>
            <w:tcW w:w="63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BD9675" w14:textId="23C79372" w:rsidR="00942744" w:rsidRDefault="007211E8">
            <w:pPr>
              <w:widowControl w:val="0"/>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KA7 </w:t>
            </w:r>
            <w:r w:rsidR="00263FBF">
              <w:rPr>
                <w:rFonts w:asciiTheme="minorHAnsi" w:eastAsia="Times New Roman" w:hAnsiTheme="minorHAnsi" w:cs="Times New Roman"/>
              </w:rPr>
              <w:t>–</w:t>
            </w:r>
            <w:r>
              <w:rPr>
                <w:rFonts w:asciiTheme="minorHAnsi" w:eastAsia="Times New Roman" w:hAnsiTheme="minorHAnsi" w:cs="Times New Roman"/>
              </w:rPr>
              <w:t xml:space="preserve"> </w:t>
            </w:r>
            <w:proofErr w:type="spellStart"/>
            <w:r>
              <w:rPr>
                <w:rFonts w:asciiTheme="minorHAnsi" w:eastAsia="Times New Roman" w:hAnsiTheme="minorHAnsi" w:cs="Times New Roman"/>
              </w:rPr>
              <w:t>Epileptologie</w:t>
            </w:r>
            <w:proofErr w:type="spellEnd"/>
            <w:r>
              <w:rPr>
                <w:rFonts w:asciiTheme="minorHAnsi" w:eastAsia="Times New Roman" w:hAnsiTheme="minorHAnsi" w:cs="Times New Roman"/>
              </w:rPr>
              <w:t xml:space="preserve">, poruchy spánku, zobrazovací metody </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841CCA3" w14:textId="77777777" w:rsidR="00942744" w:rsidRDefault="007211E8">
            <w:pPr>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11.500,- Kč/kurz</w:t>
            </w:r>
          </w:p>
        </w:tc>
      </w:tr>
      <w:tr w:rsidR="00942744" w14:paraId="47229C7F" w14:textId="77777777">
        <w:tc>
          <w:tcPr>
            <w:tcW w:w="63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37FE0BA" w14:textId="7F205605" w:rsidR="00942744" w:rsidRDefault="007211E8">
            <w:pPr>
              <w:widowControl w:val="0"/>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KA8 </w:t>
            </w:r>
            <w:r w:rsidR="00263FBF">
              <w:rPr>
                <w:rFonts w:asciiTheme="minorHAnsi" w:eastAsia="Times New Roman" w:hAnsiTheme="minorHAnsi" w:cs="Times New Roman"/>
              </w:rPr>
              <w:t>–</w:t>
            </w:r>
            <w:r>
              <w:rPr>
                <w:rFonts w:asciiTheme="minorHAnsi" w:eastAsia="Times New Roman" w:hAnsiTheme="minorHAnsi" w:cs="Times New Roman"/>
              </w:rPr>
              <w:t xml:space="preserve"> </w:t>
            </w:r>
            <w:proofErr w:type="spellStart"/>
            <w:r>
              <w:rPr>
                <w:rFonts w:asciiTheme="minorHAnsi" w:eastAsia="Times New Roman" w:hAnsiTheme="minorHAnsi" w:cs="Times New Roman"/>
              </w:rPr>
              <w:t>Movement</w:t>
            </w:r>
            <w:proofErr w:type="spellEnd"/>
            <w:r>
              <w:rPr>
                <w:rFonts w:asciiTheme="minorHAnsi" w:eastAsia="Times New Roman" w:hAnsiTheme="minorHAnsi" w:cs="Times New Roman"/>
              </w:rPr>
              <w:t xml:space="preserve"> </w:t>
            </w:r>
            <w:proofErr w:type="spellStart"/>
            <w:r>
              <w:rPr>
                <w:rFonts w:asciiTheme="minorHAnsi" w:eastAsia="Times New Roman" w:hAnsiTheme="minorHAnsi" w:cs="Times New Roman"/>
              </w:rPr>
              <w:t>disorders</w:t>
            </w:r>
            <w:proofErr w:type="spellEnd"/>
            <w:r>
              <w:rPr>
                <w:rFonts w:asciiTheme="minorHAnsi" w:eastAsia="Times New Roman" w:hAnsiTheme="minorHAnsi" w:cs="Times New Roman"/>
              </w:rPr>
              <w:t xml:space="preserve">, autoimunitní a infekční onemocnění, </w:t>
            </w:r>
            <w:proofErr w:type="spellStart"/>
            <w:r>
              <w:rPr>
                <w:rFonts w:asciiTheme="minorHAnsi" w:eastAsia="Times New Roman" w:hAnsiTheme="minorHAnsi" w:cs="Times New Roman"/>
              </w:rPr>
              <w:t>neurotrauma</w:t>
            </w:r>
            <w:proofErr w:type="spellEnd"/>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BDCF7FD" w14:textId="77777777" w:rsidR="00942744" w:rsidRDefault="007211E8">
            <w:pPr>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11.500,- Kč/kurz</w:t>
            </w:r>
          </w:p>
        </w:tc>
      </w:tr>
      <w:tr w:rsidR="00942744" w14:paraId="427815D9" w14:textId="77777777">
        <w:tc>
          <w:tcPr>
            <w:tcW w:w="63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5DA8A15" w14:textId="526E0326" w:rsidR="00942744" w:rsidRDefault="007211E8">
            <w:pPr>
              <w:widowControl w:val="0"/>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KA9 </w:t>
            </w:r>
            <w:r w:rsidR="00263FBF">
              <w:rPr>
                <w:rFonts w:asciiTheme="minorHAnsi" w:eastAsia="Times New Roman" w:hAnsiTheme="minorHAnsi" w:cs="Times New Roman"/>
              </w:rPr>
              <w:t>–</w:t>
            </w:r>
            <w:r>
              <w:rPr>
                <w:rFonts w:asciiTheme="minorHAnsi" w:eastAsia="Times New Roman" w:hAnsiTheme="minorHAnsi" w:cs="Times New Roman"/>
              </w:rPr>
              <w:t xml:space="preserve"> Akutní neurologie, neuropsychologie a neuropsychiatrie, </w:t>
            </w:r>
            <w:proofErr w:type="spellStart"/>
            <w:r>
              <w:rPr>
                <w:rFonts w:asciiTheme="minorHAnsi" w:eastAsia="Times New Roman" w:hAnsiTheme="minorHAnsi" w:cs="Times New Roman"/>
              </w:rPr>
              <w:t>neurorehabilitace</w:t>
            </w:r>
            <w:proofErr w:type="spellEnd"/>
            <w:r>
              <w:rPr>
                <w:rFonts w:asciiTheme="minorHAnsi" w:eastAsia="Times New Roman" w:hAnsiTheme="minorHAnsi" w:cs="Times New Roman"/>
              </w:rPr>
              <w:t>, základy klinické genetiky</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BF00837" w14:textId="77777777" w:rsidR="00942744" w:rsidRDefault="007211E8">
            <w:pPr>
              <w:spacing w:after="288" w:line="240" w:lineRule="auto"/>
              <w:contextualSpacing/>
              <w:jc w:val="center"/>
              <w:rPr>
                <w:rFonts w:asciiTheme="minorHAnsi" w:eastAsia="Times New Roman" w:hAnsiTheme="minorHAnsi" w:cs="Times New Roman"/>
              </w:rPr>
            </w:pPr>
            <w:r>
              <w:rPr>
                <w:rFonts w:asciiTheme="minorHAnsi" w:eastAsia="Times New Roman" w:hAnsiTheme="minorHAnsi" w:cs="Times New Roman"/>
              </w:rPr>
              <w:t>11.500,- Kč/kurz</w:t>
            </w:r>
          </w:p>
        </w:tc>
      </w:tr>
    </w:tbl>
    <w:p w14:paraId="13EB0704" w14:textId="77777777" w:rsidR="00942744" w:rsidRDefault="00942744">
      <w:pPr>
        <w:spacing w:after="200" w:line="240" w:lineRule="auto"/>
        <w:contextualSpacing/>
        <w:rPr>
          <w:rFonts w:asciiTheme="minorHAnsi" w:eastAsia="Times New Roman" w:hAnsiTheme="minorHAnsi" w:cs="Times New Roman"/>
          <w:sz w:val="24"/>
          <w:szCs w:val="24"/>
        </w:rPr>
      </w:pPr>
    </w:p>
    <w:p w14:paraId="3A78EE7C" w14:textId="12850AEE" w:rsidR="00942744" w:rsidRDefault="007211E8">
      <w:pPr>
        <w:pStyle w:val="Odstavecseseznamem"/>
        <w:numPr>
          <w:ilvl w:val="2"/>
          <w:numId w:val="8"/>
        </w:numPr>
        <w:spacing w:after="120"/>
        <w:ind w:left="567" w:hanging="567"/>
        <w:jc w:val="both"/>
        <w:rPr>
          <w:rFonts w:asciiTheme="minorHAnsi" w:eastAsia="Times New Roman" w:hAnsiTheme="minorHAnsi" w:cs="Times New Roman"/>
        </w:rPr>
      </w:pPr>
      <w:bookmarkStart w:id="17" w:name="_26in1rg"/>
      <w:bookmarkEnd w:id="17"/>
      <w:r>
        <w:rPr>
          <w:rFonts w:asciiTheme="minorHAnsi" w:eastAsia="Times New Roman" w:hAnsiTheme="minorHAnsi" w:cs="Times New Roman"/>
          <w:b/>
        </w:rPr>
        <w:t>Maximální limity praxí</w:t>
      </w:r>
      <w:r>
        <w:rPr>
          <w:rFonts w:asciiTheme="minorHAnsi" w:eastAsia="Times New Roman" w:hAnsiTheme="minorHAnsi" w:cs="Times New Roman"/>
        </w:rPr>
        <w:t xml:space="preserve"> zahrnují plat školícího lékaře stanovený ve výši odpovídající času v měsíci individuálně věnovanému stážistovi, náklady na materiál, na režijní náklady a</w:t>
      </w:r>
      <w:r w:rsidR="00526CFD">
        <w:rPr>
          <w:rFonts w:asciiTheme="minorHAnsi" w:eastAsia="Times New Roman" w:hAnsiTheme="minorHAnsi" w:cs="Times New Roman"/>
        </w:rPr>
        <w:t> </w:t>
      </w:r>
      <w:r>
        <w:rPr>
          <w:rFonts w:asciiTheme="minorHAnsi" w:eastAsia="Times New Roman" w:hAnsiTheme="minorHAnsi" w:cs="Times New Roman"/>
        </w:rPr>
        <w:t>případné daně. Součástí limitu jsou dále náklady na činnosti spojené s realizací vzdělávacích aktivit uvedené v Rozhodnutí.</w:t>
      </w:r>
    </w:p>
    <w:tbl>
      <w:tblPr>
        <w:tblW w:w="8505" w:type="dxa"/>
        <w:tblInd w:w="6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00" w:firstRow="0" w:lastRow="0" w:firstColumn="0" w:lastColumn="0" w:noHBand="0" w:noVBand="1"/>
      </w:tblPr>
      <w:tblGrid>
        <w:gridCol w:w="5104"/>
        <w:gridCol w:w="3401"/>
      </w:tblGrid>
      <w:tr w:rsidR="00942744" w14:paraId="651FB048" w14:textId="77777777">
        <w:tc>
          <w:tcPr>
            <w:tcW w:w="510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8" w:type="dxa"/>
            </w:tcMar>
            <w:vAlign w:val="center"/>
          </w:tcPr>
          <w:p w14:paraId="4C61D035" w14:textId="77777777" w:rsidR="00942744" w:rsidRDefault="007211E8">
            <w:pPr>
              <w:spacing w:after="288" w:line="240" w:lineRule="auto"/>
              <w:contextualSpacing/>
              <w:jc w:val="center"/>
              <w:rPr>
                <w:rFonts w:asciiTheme="minorHAnsi" w:eastAsia="Times New Roman" w:hAnsiTheme="minorHAnsi" w:cs="Times New Roman"/>
                <w:b/>
                <w:sz w:val="24"/>
                <w:szCs w:val="24"/>
              </w:rPr>
            </w:pPr>
            <w:r>
              <w:rPr>
                <w:rFonts w:asciiTheme="minorHAnsi" w:eastAsia="Times New Roman" w:hAnsiTheme="minorHAnsi" w:cs="Times New Roman"/>
                <w:b/>
                <w:sz w:val="24"/>
                <w:szCs w:val="24"/>
              </w:rPr>
              <w:t>Vzdělávací aktivita</w:t>
            </w:r>
          </w:p>
        </w:tc>
        <w:tc>
          <w:tcPr>
            <w:tcW w:w="340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8" w:type="dxa"/>
            </w:tcMar>
          </w:tcPr>
          <w:p w14:paraId="5F7D4DD4" w14:textId="77777777" w:rsidR="00942744" w:rsidRDefault="007211E8">
            <w:pPr>
              <w:spacing w:after="288" w:line="240" w:lineRule="auto"/>
              <w:contextualSpacing/>
              <w:jc w:val="center"/>
              <w:rPr>
                <w:rFonts w:asciiTheme="minorHAnsi" w:eastAsia="Times New Roman" w:hAnsiTheme="minorHAnsi" w:cs="Times New Roman"/>
                <w:b/>
                <w:sz w:val="24"/>
                <w:szCs w:val="24"/>
              </w:rPr>
            </w:pPr>
            <w:r>
              <w:rPr>
                <w:rFonts w:asciiTheme="minorHAnsi" w:eastAsia="Times New Roman" w:hAnsiTheme="minorHAnsi" w:cs="Times New Roman"/>
                <w:b/>
                <w:sz w:val="24"/>
                <w:szCs w:val="24"/>
              </w:rPr>
              <w:t>Cena za jednoho účastníka</w:t>
            </w:r>
          </w:p>
        </w:tc>
      </w:tr>
      <w:tr w:rsidR="00942744" w14:paraId="46EAA7C9" w14:textId="77777777">
        <w:trPr>
          <w:trHeight w:val="314"/>
        </w:trPr>
        <w:tc>
          <w:tcPr>
            <w:tcW w:w="51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BBA9413" w14:textId="5E9A0B6E" w:rsidR="00942744" w:rsidRDefault="007211E8">
            <w:pPr>
              <w:widowControl w:val="0"/>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KA10 </w:t>
            </w:r>
            <w:r w:rsidR="00263FBF">
              <w:rPr>
                <w:rFonts w:asciiTheme="minorHAnsi" w:eastAsia="Times New Roman" w:hAnsiTheme="minorHAnsi" w:cs="Times New Roman"/>
              </w:rPr>
              <w:t>–</w:t>
            </w:r>
            <w:r>
              <w:rPr>
                <w:rFonts w:asciiTheme="minorHAnsi" w:eastAsia="Times New Roman" w:hAnsiTheme="minorHAnsi" w:cs="Times New Roman"/>
              </w:rPr>
              <w:t xml:space="preserve"> Dětská neurologie </w:t>
            </w:r>
          </w:p>
        </w:tc>
        <w:tc>
          <w:tcPr>
            <w:tcW w:w="340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FCF4F2F" w14:textId="77777777" w:rsidR="00942744" w:rsidRDefault="007211E8">
            <w:pPr>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340,- Kč/den, maximálně však</w:t>
            </w:r>
          </w:p>
          <w:p w14:paraId="1F1D6CFB" w14:textId="77777777" w:rsidR="00942744" w:rsidRDefault="007211E8">
            <w:pPr>
              <w:spacing w:after="288" w:line="240" w:lineRule="auto"/>
              <w:contextualSpacing/>
              <w:rPr>
                <w:rFonts w:asciiTheme="minorHAnsi" w:eastAsia="Times New Roman" w:hAnsiTheme="minorHAnsi" w:cs="Times New Roman"/>
                <w:sz w:val="24"/>
                <w:szCs w:val="24"/>
              </w:rPr>
            </w:pPr>
            <w:r>
              <w:rPr>
                <w:rFonts w:asciiTheme="minorHAnsi" w:eastAsia="Times New Roman" w:hAnsiTheme="minorHAnsi" w:cs="Times New Roman"/>
              </w:rPr>
              <w:t>6.800,- Kč za kalendářní měsíc.</w:t>
            </w:r>
          </w:p>
        </w:tc>
      </w:tr>
      <w:tr w:rsidR="00942744" w14:paraId="7BDA6C4D" w14:textId="77777777">
        <w:trPr>
          <w:trHeight w:val="314"/>
        </w:trPr>
        <w:tc>
          <w:tcPr>
            <w:tcW w:w="51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3339240" w14:textId="7344AE0A" w:rsidR="00942744" w:rsidRDefault="007211E8">
            <w:pPr>
              <w:widowControl w:val="0"/>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KA11 </w:t>
            </w:r>
            <w:r w:rsidR="00263FBF">
              <w:rPr>
                <w:rFonts w:asciiTheme="minorHAnsi" w:eastAsia="Times New Roman" w:hAnsiTheme="minorHAnsi" w:cs="Times New Roman"/>
              </w:rPr>
              <w:t>–</w:t>
            </w:r>
            <w:r>
              <w:rPr>
                <w:rFonts w:asciiTheme="minorHAnsi" w:eastAsia="Times New Roman" w:hAnsiTheme="minorHAnsi" w:cs="Times New Roman"/>
              </w:rPr>
              <w:t xml:space="preserve"> Neurologie</w:t>
            </w:r>
          </w:p>
        </w:tc>
        <w:tc>
          <w:tcPr>
            <w:tcW w:w="340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C7E7EFC" w14:textId="77777777" w:rsidR="00942744" w:rsidRDefault="00942744">
            <w:pPr>
              <w:spacing w:after="288" w:line="240" w:lineRule="auto"/>
              <w:contextualSpacing/>
              <w:rPr>
                <w:rFonts w:asciiTheme="minorHAnsi" w:eastAsia="Times New Roman" w:hAnsiTheme="minorHAnsi" w:cs="Times New Roman"/>
                <w:sz w:val="24"/>
                <w:szCs w:val="24"/>
              </w:rPr>
            </w:pPr>
          </w:p>
        </w:tc>
      </w:tr>
      <w:tr w:rsidR="00942744" w14:paraId="762BAC88" w14:textId="77777777">
        <w:trPr>
          <w:trHeight w:val="314"/>
        </w:trPr>
        <w:tc>
          <w:tcPr>
            <w:tcW w:w="51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579AF40" w14:textId="1F6EF0F9" w:rsidR="00942744" w:rsidRDefault="007211E8">
            <w:pPr>
              <w:widowControl w:val="0"/>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KA12 </w:t>
            </w:r>
            <w:r w:rsidR="00263FBF">
              <w:rPr>
                <w:rFonts w:asciiTheme="minorHAnsi" w:eastAsia="Times New Roman" w:hAnsiTheme="minorHAnsi" w:cs="Times New Roman"/>
              </w:rPr>
              <w:t>–</w:t>
            </w:r>
            <w:r>
              <w:rPr>
                <w:rFonts w:asciiTheme="minorHAnsi" w:eastAsia="Times New Roman" w:hAnsiTheme="minorHAnsi" w:cs="Times New Roman"/>
              </w:rPr>
              <w:t xml:space="preserve"> Dětské lékařství / Pediatrie </w:t>
            </w:r>
          </w:p>
        </w:tc>
        <w:tc>
          <w:tcPr>
            <w:tcW w:w="340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44E5AB" w14:textId="77777777" w:rsidR="00942744" w:rsidRDefault="00942744">
            <w:pPr>
              <w:spacing w:after="288" w:line="240" w:lineRule="auto"/>
              <w:contextualSpacing/>
              <w:rPr>
                <w:rFonts w:asciiTheme="minorHAnsi" w:eastAsia="Times New Roman" w:hAnsiTheme="minorHAnsi" w:cs="Times New Roman"/>
                <w:sz w:val="24"/>
                <w:szCs w:val="24"/>
              </w:rPr>
            </w:pPr>
          </w:p>
        </w:tc>
      </w:tr>
      <w:tr w:rsidR="00942744" w14:paraId="789F3688" w14:textId="77777777">
        <w:trPr>
          <w:trHeight w:val="314"/>
        </w:trPr>
        <w:tc>
          <w:tcPr>
            <w:tcW w:w="51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486CE54" w14:textId="0E040A68" w:rsidR="00942744" w:rsidRDefault="007211E8">
            <w:pPr>
              <w:widowControl w:val="0"/>
              <w:spacing w:after="288" w:line="240" w:lineRule="auto"/>
              <w:contextualSpacing/>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KA13 </w:t>
            </w:r>
            <w:r w:rsidR="00263FBF">
              <w:rPr>
                <w:rFonts w:asciiTheme="minorHAnsi" w:eastAsia="Times New Roman" w:hAnsiTheme="minorHAnsi" w:cs="Times New Roman"/>
                <w:sz w:val="24"/>
                <w:szCs w:val="24"/>
              </w:rPr>
              <w:t>–</w:t>
            </w:r>
            <w:r>
              <w:rPr>
                <w:rFonts w:asciiTheme="minorHAnsi" w:eastAsia="Times New Roman" w:hAnsiTheme="minorHAnsi" w:cs="Times New Roman"/>
                <w:sz w:val="24"/>
                <w:szCs w:val="24"/>
              </w:rPr>
              <w:t xml:space="preserve"> Dětská a dorostová psychiatrie</w:t>
            </w:r>
          </w:p>
        </w:tc>
        <w:tc>
          <w:tcPr>
            <w:tcW w:w="340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2A615CD" w14:textId="77777777" w:rsidR="00942744" w:rsidRDefault="00942744">
            <w:pPr>
              <w:spacing w:after="288" w:line="240" w:lineRule="auto"/>
              <w:contextualSpacing/>
              <w:rPr>
                <w:rFonts w:asciiTheme="minorHAnsi" w:eastAsia="Times New Roman" w:hAnsiTheme="minorHAnsi" w:cs="Times New Roman"/>
                <w:sz w:val="24"/>
                <w:szCs w:val="24"/>
              </w:rPr>
            </w:pPr>
          </w:p>
        </w:tc>
      </w:tr>
    </w:tbl>
    <w:p w14:paraId="0EFBF02D" w14:textId="6FE9D402" w:rsidR="00942744" w:rsidRDefault="00942744">
      <w:pPr>
        <w:pStyle w:val="Bezmezer"/>
        <w:rPr>
          <w:rStyle w:val="Nadpiss2Char"/>
          <w:rFonts w:ascii="Arial" w:hAnsi="Arial"/>
          <w:b w:val="0"/>
          <w:color w:val="00000A"/>
          <w:sz w:val="22"/>
          <w:szCs w:val="22"/>
        </w:rPr>
      </w:pPr>
      <w:bookmarkStart w:id="18" w:name="_lnxbz9"/>
      <w:bookmarkEnd w:id="18"/>
    </w:p>
    <w:p w14:paraId="787732A8" w14:textId="77777777" w:rsidR="00F50186" w:rsidRDefault="00F50186">
      <w:pPr>
        <w:pStyle w:val="Bezmezer"/>
        <w:rPr>
          <w:rStyle w:val="Nadpiss2Char"/>
          <w:rFonts w:ascii="Arial" w:hAnsi="Arial"/>
          <w:b w:val="0"/>
          <w:color w:val="00000A"/>
          <w:sz w:val="22"/>
          <w:szCs w:val="22"/>
        </w:rPr>
      </w:pPr>
    </w:p>
    <w:p w14:paraId="7239B00F" w14:textId="303BA6E7" w:rsidR="00942744" w:rsidRDefault="00942744">
      <w:pPr>
        <w:rPr>
          <w:rStyle w:val="Nadpiss2Char"/>
          <w:rFonts w:ascii="Arial" w:hAnsi="Arial"/>
          <w:b w:val="0"/>
          <w:color w:val="00000A"/>
          <w:sz w:val="22"/>
          <w:szCs w:val="22"/>
        </w:rPr>
      </w:pPr>
    </w:p>
    <w:p w14:paraId="2A2414C1" w14:textId="77777777" w:rsidR="00942744" w:rsidRDefault="007211E8">
      <w:pPr>
        <w:pStyle w:val="Nadpiss2"/>
        <w:numPr>
          <w:ilvl w:val="0"/>
          <w:numId w:val="8"/>
        </w:numPr>
        <w:ind w:left="924" w:hanging="567"/>
        <w:rPr>
          <w:rStyle w:val="Nadpiss2Char"/>
          <w:b/>
        </w:rPr>
      </w:pPr>
      <w:bookmarkStart w:id="19" w:name="_Toc34659568"/>
      <w:r>
        <w:rPr>
          <w:rStyle w:val="Nadpiss2Char"/>
          <w:b/>
        </w:rPr>
        <w:t>Oblasti způsobilých výdajů</w:t>
      </w:r>
      <w:bookmarkEnd w:id="19"/>
    </w:p>
    <w:p w14:paraId="453CF9C5" w14:textId="77777777" w:rsidR="00942744" w:rsidRDefault="00942744">
      <w:pPr>
        <w:pStyle w:val="Bezmezer"/>
      </w:pPr>
    </w:p>
    <w:p w14:paraId="4F46C33F" w14:textId="77777777" w:rsidR="00942744" w:rsidRPr="00914647" w:rsidRDefault="007211E8" w:rsidP="00914647">
      <w:pPr>
        <w:pStyle w:val="Odstavecseseznamem"/>
        <w:widowControl w:val="0"/>
        <w:numPr>
          <w:ilvl w:val="0"/>
          <w:numId w:val="41"/>
        </w:numPr>
        <w:spacing w:after="200"/>
        <w:ind w:left="426"/>
        <w:jc w:val="both"/>
        <w:rPr>
          <w:rFonts w:asciiTheme="minorHAnsi" w:eastAsia="Times New Roman" w:hAnsiTheme="minorHAnsi" w:cs="Times New Roman"/>
        </w:rPr>
      </w:pPr>
      <w:r w:rsidRPr="00914647">
        <w:rPr>
          <w:rFonts w:asciiTheme="minorHAnsi" w:eastAsia="Times New Roman" w:hAnsiTheme="minorHAnsi" w:cs="Times New Roman"/>
        </w:rPr>
        <w:t>Pokud není v tomto Metodickém pokynu uvedeno jinak, jsou Příjemci povinni postupovat podle aktuálních pravidel OPZ, a to konkrétně podle kapitoly Způsobilé a nezpůsobilé výdaje „Specifické části pravidel pro žadatele a příjemce v rámci OPZ pro projekty se skutečně vzniklými výdaji a případně také s nepřímými náklady” (dále jen „Specifických pravidel”)</w:t>
      </w:r>
      <w:r>
        <w:rPr>
          <w:rStyle w:val="Ukotvenpoznmkypodarou"/>
          <w:rFonts w:asciiTheme="minorHAnsi" w:eastAsia="Times New Roman" w:hAnsiTheme="minorHAnsi" w:cs="Times New Roman"/>
        </w:rPr>
        <w:footnoteReference w:id="13"/>
      </w:r>
      <w:r w:rsidRPr="00914647">
        <w:rPr>
          <w:rFonts w:asciiTheme="minorHAnsi" w:eastAsia="Times New Roman" w:hAnsiTheme="minorHAnsi" w:cs="Times New Roman"/>
        </w:rPr>
        <w:t>.</w:t>
      </w:r>
    </w:p>
    <w:p w14:paraId="68BD2911" w14:textId="6887DE85" w:rsidR="00942744" w:rsidRDefault="007211E8" w:rsidP="00914647">
      <w:pPr>
        <w:pStyle w:val="Odstavecseseznamem"/>
        <w:widowControl w:val="0"/>
        <w:numPr>
          <w:ilvl w:val="0"/>
          <w:numId w:val="41"/>
        </w:numPr>
        <w:spacing w:after="200"/>
        <w:ind w:left="426"/>
        <w:jc w:val="both"/>
        <w:rPr>
          <w:rFonts w:asciiTheme="minorHAnsi" w:eastAsia="Times New Roman" w:hAnsiTheme="minorHAnsi" w:cs="Times New Roman"/>
        </w:rPr>
      </w:pPr>
      <w:r w:rsidRPr="00914647">
        <w:rPr>
          <w:rFonts w:asciiTheme="minorHAnsi" w:eastAsia="Times New Roman" w:hAnsiTheme="minorHAnsi" w:cs="Times New Roman"/>
        </w:rPr>
        <w:t>V této kapitole Metodického pokynu jsou uvedeny informace k jednotlivým druhům možných způsobilých výdajů, případně je uveden odkaz na konkrétní podkapitoly Specifických pravidel.</w:t>
      </w:r>
    </w:p>
    <w:p w14:paraId="3F709079" w14:textId="2C96F4E0" w:rsidR="00110E3C" w:rsidRDefault="00110E3C">
      <w:pPr>
        <w:rPr>
          <w:rFonts w:asciiTheme="minorHAnsi" w:eastAsia="Times New Roman" w:hAnsiTheme="minorHAnsi" w:cs="Times New Roman"/>
        </w:rPr>
      </w:pPr>
      <w:r>
        <w:rPr>
          <w:rFonts w:asciiTheme="minorHAnsi" w:eastAsia="Times New Roman" w:hAnsiTheme="minorHAnsi" w:cs="Times New Roman"/>
        </w:rPr>
        <w:br w:type="page"/>
      </w:r>
    </w:p>
    <w:p w14:paraId="3BDD6192" w14:textId="77777777" w:rsidR="00942744" w:rsidRDefault="007211E8">
      <w:pPr>
        <w:pStyle w:val="Nadpiss3"/>
        <w:numPr>
          <w:ilvl w:val="0"/>
          <w:numId w:val="16"/>
        </w:numPr>
        <w:ind w:left="425" w:hanging="85"/>
      </w:pPr>
      <w:bookmarkStart w:id="20" w:name="_35nkun2"/>
      <w:bookmarkStart w:id="21" w:name="_Toc34659569"/>
      <w:bookmarkEnd w:id="20"/>
      <w:r>
        <w:lastRenderedPageBreak/>
        <w:t>Osobní náklady</w:t>
      </w:r>
      <w:bookmarkEnd w:id="21"/>
    </w:p>
    <w:p w14:paraId="36F4E333" w14:textId="77777777" w:rsidR="00942744" w:rsidRDefault="007211E8">
      <w:pPr>
        <w:pStyle w:val="Odstavecseseznamem"/>
        <w:widowControl w:val="0"/>
        <w:numPr>
          <w:ilvl w:val="2"/>
          <w:numId w:val="17"/>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Příjemci v případě osobních nákladů nepostupují podle Specifických pravidel podkapitoly 6.2.1 Osobní náklady a kapitoly 6.3.1 Pracovní výkazy, ale dle níže uvedených pravidel.</w:t>
      </w:r>
    </w:p>
    <w:p w14:paraId="6BBCE81A" w14:textId="77777777" w:rsidR="00942744" w:rsidRDefault="007211E8" w:rsidP="00914647">
      <w:pPr>
        <w:pStyle w:val="Odstavecseseznamem"/>
        <w:widowControl w:val="0"/>
        <w:numPr>
          <w:ilvl w:val="2"/>
          <w:numId w:val="17"/>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 xml:space="preserve">Osobní náklady zaměstnanců podílejících se na realizaci vzdělávacích aktivit (zejména lektorů, školitelů a školících lékařů) v Projektu. Způsobilými osobními náklady jsou: </w:t>
      </w:r>
    </w:p>
    <w:p w14:paraId="49211FB6" w14:textId="77777777" w:rsidR="00942744" w:rsidRDefault="007211E8" w:rsidP="00914647">
      <w:pPr>
        <w:widowControl w:val="0"/>
        <w:numPr>
          <w:ilvl w:val="0"/>
          <w:numId w:val="18"/>
        </w:numPr>
        <w:spacing w:after="200"/>
        <w:ind w:left="1134" w:hanging="567"/>
        <w:contextualSpacing/>
        <w:jc w:val="both"/>
        <w:rPr>
          <w:rFonts w:asciiTheme="minorHAnsi" w:eastAsia="Times New Roman" w:hAnsiTheme="minorHAnsi" w:cs="Times New Roman"/>
        </w:rPr>
      </w:pPr>
      <w:r>
        <w:rPr>
          <w:rFonts w:asciiTheme="minorHAnsi" w:eastAsia="Times New Roman" w:hAnsiTheme="minorHAnsi" w:cs="Times New Roman"/>
        </w:rPr>
        <w:t xml:space="preserve">mzdy a platy pracovníků, kteří jsou zaměstnáni výhradně na vzdělávacích aktivitách (platí i pro odměny z dohod konaných mimo pracovní poměr); </w:t>
      </w:r>
    </w:p>
    <w:p w14:paraId="16CA631C" w14:textId="77777777" w:rsidR="00942744" w:rsidRDefault="007211E8" w:rsidP="00914647">
      <w:pPr>
        <w:widowControl w:val="0"/>
        <w:numPr>
          <w:ilvl w:val="0"/>
          <w:numId w:val="18"/>
        </w:numPr>
        <w:spacing w:after="200"/>
        <w:ind w:left="1134" w:hanging="567"/>
        <w:contextualSpacing/>
        <w:jc w:val="both"/>
        <w:rPr>
          <w:rFonts w:asciiTheme="minorHAnsi" w:eastAsia="Times New Roman" w:hAnsiTheme="minorHAnsi" w:cs="Times New Roman"/>
        </w:rPr>
      </w:pPr>
      <w:r>
        <w:rPr>
          <w:rFonts w:asciiTheme="minorHAnsi" w:eastAsia="Times New Roman" w:hAnsiTheme="minorHAnsi" w:cs="Times New Roman"/>
        </w:rPr>
        <w:t xml:space="preserve">příslušná část mezd nebo platů zaměstnanců, kteří se na realizaci vzdělávacích aktivit podílejí pouze částí svého úvazku, a to v příslušné poměrné výši (platí i pro odměny z dohod konaných mimo pracovní poměr); </w:t>
      </w:r>
    </w:p>
    <w:p w14:paraId="6D48E26A" w14:textId="77777777" w:rsidR="00942744" w:rsidRDefault="007211E8" w:rsidP="00914647">
      <w:pPr>
        <w:widowControl w:val="0"/>
        <w:numPr>
          <w:ilvl w:val="0"/>
          <w:numId w:val="18"/>
        </w:numPr>
        <w:spacing w:after="200"/>
        <w:ind w:left="1134" w:hanging="567"/>
        <w:jc w:val="both"/>
        <w:rPr>
          <w:rFonts w:asciiTheme="minorHAnsi" w:eastAsia="Times New Roman" w:hAnsiTheme="minorHAnsi" w:cs="Times New Roman"/>
        </w:rPr>
      </w:pPr>
      <w:r>
        <w:rPr>
          <w:rFonts w:asciiTheme="minorHAnsi" w:eastAsia="Times New Roman" w:hAnsiTheme="minorHAnsi" w:cs="Times New Roman"/>
        </w:rPr>
        <w:t>mimořádné odměny dle § 134 Zákoníku práce nebo cílové odměny dle § </w:t>
      </w:r>
      <w:proofErr w:type="gramStart"/>
      <w:r>
        <w:rPr>
          <w:rFonts w:asciiTheme="minorHAnsi" w:eastAsia="Times New Roman" w:hAnsiTheme="minorHAnsi" w:cs="Times New Roman"/>
        </w:rPr>
        <w:t>134a</w:t>
      </w:r>
      <w:proofErr w:type="gramEnd"/>
      <w:r>
        <w:rPr>
          <w:rFonts w:asciiTheme="minorHAnsi" w:eastAsia="Times New Roman" w:hAnsiTheme="minorHAnsi" w:cs="Times New Roman"/>
        </w:rPr>
        <w:t xml:space="preserve"> Zákoníku práce pracovníků, jejichž základní plat a mzda není hrazen/a z rozpočtu Projektu. </w:t>
      </w:r>
    </w:p>
    <w:p w14:paraId="2022F405" w14:textId="77777777" w:rsidR="00942744" w:rsidRDefault="007211E8" w:rsidP="004B147E">
      <w:pPr>
        <w:pStyle w:val="Odstavecseseznamem"/>
        <w:widowControl w:val="0"/>
        <w:numPr>
          <w:ilvl w:val="2"/>
          <w:numId w:val="17"/>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 xml:space="preserve">Pracovní smlouvy a dohody o pracích konaných mimo pracovní poměr musí být uzavřeny v souladu se Zákoníkem práce. </w:t>
      </w:r>
    </w:p>
    <w:p w14:paraId="77F832DD" w14:textId="77777777" w:rsidR="00942744" w:rsidRDefault="007211E8" w:rsidP="004B147E">
      <w:pPr>
        <w:pStyle w:val="Odstavecseseznamem"/>
        <w:widowControl w:val="0"/>
        <w:numPr>
          <w:ilvl w:val="2"/>
          <w:numId w:val="17"/>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Pracovní úvazky zaměstnance se nesmí překrývat a není možné, aby byl placen za stejnou práci vícekrát. Příjemce je povinen vést v relevantních případech evidenci o personálním zajištění vzdělávacích aktivit a počtu odpracovaných hodin vztahující se k jednotlivým vzdělávacím aktivitám</w:t>
      </w:r>
      <w:r w:rsidRPr="004B147E">
        <w:rPr>
          <w:vertAlign w:val="superscript"/>
        </w:rPr>
        <w:footnoteReference w:id="14"/>
      </w:r>
      <w:r>
        <w:rPr>
          <w:rFonts w:asciiTheme="minorHAnsi" w:eastAsia="Times New Roman" w:hAnsiTheme="minorHAnsi" w:cs="Times New Roman"/>
        </w:rPr>
        <w:t xml:space="preserve"> a doložit je při kontrole na místě. </w:t>
      </w:r>
    </w:p>
    <w:p w14:paraId="07C43A54" w14:textId="77777777" w:rsidR="00942744" w:rsidRDefault="007211E8" w:rsidP="004B147E">
      <w:pPr>
        <w:pStyle w:val="Odstavecseseznamem"/>
        <w:widowControl w:val="0"/>
        <w:numPr>
          <w:ilvl w:val="2"/>
          <w:numId w:val="17"/>
        </w:numPr>
        <w:spacing w:after="200"/>
        <w:ind w:left="567" w:hanging="567"/>
        <w:jc w:val="both"/>
        <w:rPr>
          <w:rFonts w:asciiTheme="minorHAnsi" w:eastAsia="Times New Roman" w:hAnsiTheme="minorHAnsi" w:cs="Times New Roman"/>
        </w:rPr>
      </w:pPr>
      <w:bookmarkStart w:id="22" w:name="_1ksv4uv"/>
      <w:bookmarkEnd w:id="22"/>
      <w:r>
        <w:rPr>
          <w:rFonts w:asciiTheme="minorHAnsi" w:eastAsia="Times New Roman" w:hAnsiTheme="minorHAnsi" w:cs="Times New Roman"/>
        </w:rPr>
        <w:t>Mzdovými náklady se rozumí hrubá mzda/plat</w:t>
      </w:r>
      <w:r w:rsidRPr="004B147E">
        <w:rPr>
          <w:vertAlign w:val="superscript"/>
        </w:rPr>
        <w:footnoteReference w:id="15"/>
      </w:r>
      <w:r w:rsidRPr="00914647">
        <w:rPr>
          <w:rFonts w:asciiTheme="minorHAnsi" w:eastAsia="Times New Roman" w:hAnsiTheme="minorHAnsi" w:cs="Times New Roman"/>
        </w:rPr>
        <w:t xml:space="preserve"> </w:t>
      </w:r>
      <w:r>
        <w:rPr>
          <w:rFonts w:asciiTheme="minorHAnsi" w:eastAsia="Times New Roman" w:hAnsiTheme="minorHAnsi" w:cs="Times New Roman"/>
        </w:rPr>
        <w:t xml:space="preserve">nebo odměna zaměstnanců pracujících na základě dohod o činnostech vykonávaných mimo pracovní poměr. </w:t>
      </w:r>
    </w:p>
    <w:p w14:paraId="0DFE6DAE" w14:textId="3224BFC3" w:rsidR="00942744" w:rsidRDefault="007211E8" w:rsidP="004B147E">
      <w:pPr>
        <w:pStyle w:val="Odstavecseseznamem"/>
        <w:widowControl w:val="0"/>
        <w:numPr>
          <w:ilvl w:val="2"/>
          <w:numId w:val="17"/>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Dále jsou způsobilým výdajem odvody zaměstnavatele na sociální a zdravotní pojištění a další poplatky spojené se zaměstnancem hrazené zaměstnavatelem povinně na základě právních předpisů.</w:t>
      </w:r>
      <w:r w:rsidRPr="004B147E">
        <w:rPr>
          <w:vertAlign w:val="superscript"/>
        </w:rPr>
        <w:footnoteReference w:id="16"/>
      </w:r>
      <w:r w:rsidRPr="00914647">
        <w:rPr>
          <w:rFonts w:asciiTheme="minorHAnsi" w:eastAsia="Times New Roman" w:hAnsiTheme="minorHAnsi" w:cs="Times New Roman"/>
        </w:rPr>
        <w:t xml:space="preserve"> </w:t>
      </w:r>
      <w:r>
        <w:rPr>
          <w:rFonts w:asciiTheme="minorHAnsi" w:eastAsia="Times New Roman" w:hAnsiTheme="minorHAnsi" w:cs="Times New Roman"/>
        </w:rPr>
        <w:t xml:space="preserve">Způsobilými jsou ovšem pouze ty náklady, u nichž platí, že je s konečnou platností kryje zaměstnavatel, tj. neexistuje u nich možnost, že by je jiný subjekt (než MZ) zaměstnavateli refundoval. </w:t>
      </w:r>
    </w:p>
    <w:p w14:paraId="74C2526C" w14:textId="77777777" w:rsidR="00942744" w:rsidRDefault="007211E8" w:rsidP="004B147E">
      <w:pPr>
        <w:pStyle w:val="Odstavecseseznamem"/>
        <w:widowControl w:val="0"/>
        <w:numPr>
          <w:ilvl w:val="2"/>
          <w:numId w:val="17"/>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U mimořádných či cílových odměn se za způsobilé považují tyto odměny a s nimi související odvody zaměstnavatele.</w:t>
      </w:r>
    </w:p>
    <w:p w14:paraId="5DE0EB80" w14:textId="77777777" w:rsidR="00942744" w:rsidRDefault="007211E8" w:rsidP="004B147E">
      <w:pPr>
        <w:pStyle w:val="Odstavecseseznamem"/>
        <w:widowControl w:val="0"/>
        <w:numPr>
          <w:ilvl w:val="2"/>
          <w:numId w:val="17"/>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 xml:space="preserve">Veškeré vyplacené odměny v Projektu musí náležet za činnosti vykonané pro Projekt, tj. pro konkrétní vzdělávací aktivitu, a zároveň musí souviset s činnostmi uvedenými v pracovní smlouvě/dohodě daného zaměstnance, resp. popisem pracovní pozice v dané organizaci. </w:t>
      </w:r>
    </w:p>
    <w:p w14:paraId="18B7677E" w14:textId="77777777" w:rsidR="00942744" w:rsidRDefault="007211E8" w:rsidP="00486972">
      <w:pPr>
        <w:pStyle w:val="Odstavecseseznamem"/>
        <w:keepLines/>
        <w:widowControl w:val="0"/>
        <w:numPr>
          <w:ilvl w:val="2"/>
          <w:numId w:val="17"/>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Nezpůsobilé jsou pravidelné odměny</w:t>
      </w:r>
      <w:r w:rsidRPr="004B147E">
        <w:rPr>
          <w:vertAlign w:val="superscript"/>
        </w:rPr>
        <w:footnoteReference w:id="17"/>
      </w:r>
      <w:r w:rsidRPr="00914647">
        <w:rPr>
          <w:rFonts w:asciiTheme="minorHAnsi" w:eastAsia="Times New Roman" w:hAnsiTheme="minorHAnsi" w:cs="Times New Roman"/>
        </w:rPr>
        <w:t xml:space="preserve"> </w:t>
      </w:r>
      <w:r>
        <w:rPr>
          <w:rFonts w:asciiTheme="minorHAnsi" w:eastAsia="Times New Roman" w:hAnsiTheme="minorHAnsi" w:cs="Times New Roman"/>
        </w:rPr>
        <w:t>a odměny nesouvisející s prací na Projektu. Odměnu nelze poskytnout osobám, které se podílely na vzniku nedostatků při realizaci Projektu, pokud tyto nedostatky nebyly Příjemcem řádně zdůvodněny nebo pokud zdůvodnění nebylo akceptováno ze strany MZ.</w:t>
      </w:r>
    </w:p>
    <w:p w14:paraId="4F0A0605" w14:textId="77777777" w:rsidR="00942744" w:rsidRDefault="007211E8" w:rsidP="004B147E">
      <w:pPr>
        <w:pStyle w:val="Odstavecseseznamem"/>
        <w:widowControl w:val="0"/>
        <w:numPr>
          <w:ilvl w:val="2"/>
          <w:numId w:val="17"/>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lastRenderedPageBreak/>
        <w:t xml:space="preserve">Odstupné není způsobilým výdajem. </w:t>
      </w:r>
    </w:p>
    <w:p w14:paraId="4E95BEF7" w14:textId="77777777" w:rsidR="00942744" w:rsidRDefault="00942744">
      <w:pPr>
        <w:pStyle w:val="Odstavecseseznamem"/>
        <w:widowControl w:val="0"/>
        <w:spacing w:after="200"/>
        <w:ind w:left="567"/>
        <w:jc w:val="both"/>
        <w:rPr>
          <w:rFonts w:asciiTheme="minorHAnsi" w:eastAsia="Times New Roman" w:hAnsiTheme="minorHAnsi" w:cs="Times New Roman"/>
        </w:rPr>
      </w:pPr>
    </w:p>
    <w:p w14:paraId="61CBD8B4" w14:textId="77777777" w:rsidR="00942744" w:rsidRDefault="007211E8">
      <w:pPr>
        <w:pStyle w:val="Nadpiss3"/>
        <w:numPr>
          <w:ilvl w:val="0"/>
          <w:numId w:val="16"/>
        </w:numPr>
        <w:ind w:left="425" w:hanging="85"/>
      </w:pPr>
      <w:bookmarkStart w:id="23" w:name="_44sinio"/>
      <w:bookmarkStart w:id="24" w:name="_Toc34659570"/>
      <w:bookmarkEnd w:id="23"/>
      <w:r>
        <w:t>Nákup služeb</w:t>
      </w:r>
      <w:bookmarkEnd w:id="24"/>
      <w:r>
        <w:t xml:space="preserve"> </w:t>
      </w:r>
    </w:p>
    <w:p w14:paraId="64455C76" w14:textId="77777777" w:rsidR="00942744" w:rsidRDefault="007211E8" w:rsidP="00914647">
      <w:pPr>
        <w:pStyle w:val="Odstavecseseznamem"/>
        <w:widowControl w:val="0"/>
        <w:numPr>
          <w:ilvl w:val="2"/>
          <w:numId w:val="42"/>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Dodání služby musí být nezbytné pro realizaci vzdělávacích aktivit v Projektu.</w:t>
      </w:r>
    </w:p>
    <w:p w14:paraId="53F90A5C" w14:textId="77777777" w:rsidR="00942744" w:rsidRDefault="007211E8" w:rsidP="00486972">
      <w:pPr>
        <w:pStyle w:val="Odstavecseseznamem"/>
        <w:widowControl w:val="0"/>
        <w:numPr>
          <w:ilvl w:val="2"/>
          <w:numId w:val="42"/>
        </w:numPr>
        <w:ind w:left="567" w:hanging="567"/>
        <w:jc w:val="both"/>
        <w:rPr>
          <w:rFonts w:asciiTheme="minorHAnsi" w:eastAsia="Times New Roman" w:hAnsiTheme="minorHAnsi" w:cs="Times New Roman"/>
        </w:rPr>
      </w:pPr>
      <w:r>
        <w:rPr>
          <w:rFonts w:asciiTheme="minorHAnsi" w:eastAsia="Times New Roman" w:hAnsiTheme="minorHAnsi" w:cs="Times New Roman"/>
        </w:rPr>
        <w:t>Předmětem nákupu mohou být zejména následující služby:</w:t>
      </w:r>
    </w:p>
    <w:p w14:paraId="140F500E" w14:textId="77777777" w:rsidR="00942744" w:rsidRDefault="007211E8" w:rsidP="00914647">
      <w:pPr>
        <w:widowControl w:val="0"/>
        <w:numPr>
          <w:ilvl w:val="0"/>
          <w:numId w:val="45"/>
        </w:numPr>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lektorské služby</w:t>
      </w:r>
    </w:p>
    <w:p w14:paraId="2A7EDA64" w14:textId="77777777" w:rsidR="00942744" w:rsidRDefault="007211E8" w:rsidP="00914647">
      <w:pPr>
        <w:widowControl w:val="0"/>
        <w:numPr>
          <w:ilvl w:val="0"/>
          <w:numId w:val="45"/>
        </w:numPr>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příprava školicích materiálů nebo manuálů (nejedná se o nákup původních děl)</w:t>
      </w:r>
    </w:p>
    <w:p w14:paraId="5F8CF5BC" w14:textId="77777777" w:rsidR="00942744" w:rsidRDefault="007211E8" w:rsidP="00914647">
      <w:pPr>
        <w:widowControl w:val="0"/>
        <w:numPr>
          <w:ilvl w:val="0"/>
          <w:numId w:val="45"/>
        </w:numPr>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pronájem prostor pro práci s účastníky (např. pronájem učebny)</w:t>
      </w:r>
    </w:p>
    <w:p w14:paraId="3DBC0B1C" w14:textId="77777777" w:rsidR="00942744" w:rsidRDefault="007211E8" w:rsidP="00914647">
      <w:pPr>
        <w:widowControl w:val="0"/>
        <w:numPr>
          <w:ilvl w:val="0"/>
          <w:numId w:val="45"/>
        </w:numPr>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energie, vodné, stočné, internetové a telefonní připojení, úklid, poštovné apod.</w:t>
      </w:r>
    </w:p>
    <w:p w14:paraId="7202F488" w14:textId="77777777" w:rsidR="00942744" w:rsidRDefault="007211E8" w:rsidP="00914647">
      <w:pPr>
        <w:widowControl w:val="0"/>
        <w:numPr>
          <w:ilvl w:val="0"/>
          <w:numId w:val="45"/>
        </w:numPr>
        <w:spacing w:after="288" w:line="240" w:lineRule="auto"/>
        <w:contextualSpacing/>
        <w:jc w:val="both"/>
        <w:rPr>
          <w:rFonts w:asciiTheme="minorHAnsi" w:eastAsia="Times New Roman" w:hAnsiTheme="minorHAnsi" w:cs="Times New Roman"/>
        </w:rPr>
      </w:pPr>
      <w:r>
        <w:rPr>
          <w:rFonts w:asciiTheme="minorHAnsi" w:eastAsia="Times New Roman" w:hAnsiTheme="minorHAnsi" w:cs="Times New Roman"/>
        </w:rPr>
        <w:t>kurzy – občerstvení formou služby</w:t>
      </w:r>
      <w:r>
        <w:rPr>
          <w:rStyle w:val="Ukotvenpoznmkypodarou"/>
          <w:rFonts w:asciiTheme="minorHAnsi" w:eastAsia="Times New Roman" w:hAnsiTheme="minorHAnsi" w:cs="Times New Roman"/>
        </w:rPr>
        <w:footnoteReference w:id="18"/>
      </w:r>
      <w:r>
        <w:rPr>
          <w:rFonts w:asciiTheme="minorHAnsi" w:eastAsia="Times New Roman" w:hAnsiTheme="minorHAnsi" w:cs="Times New Roman"/>
        </w:rPr>
        <w:t xml:space="preserve"> (catering)</w:t>
      </w:r>
    </w:p>
    <w:p w14:paraId="766BEA8E" w14:textId="77777777" w:rsidR="00942744" w:rsidRDefault="007211E8" w:rsidP="00914647">
      <w:pPr>
        <w:pStyle w:val="Odstavecseseznamem"/>
        <w:widowControl w:val="0"/>
        <w:numPr>
          <w:ilvl w:val="2"/>
          <w:numId w:val="42"/>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Interní fakturace není chápána jako nákup služeb, ale pro doložení způsobilosti výdajů je nutné interní faktury doprovázet kalkulacemi s odkazy na konkrétní účetní doklady, které dokládají skutečně vzniklé výdaje Příjemce zahrnuté do interní faktury. Do částky fakturované formou interní faktury nesmí být zahrnut žádný zisk.</w:t>
      </w:r>
    </w:p>
    <w:p w14:paraId="2512522F" w14:textId="77777777" w:rsidR="00942744" w:rsidRDefault="00942744">
      <w:pPr>
        <w:pStyle w:val="Odstavecseseznamem"/>
        <w:widowControl w:val="0"/>
        <w:spacing w:after="200" w:line="240" w:lineRule="auto"/>
        <w:ind w:left="567"/>
        <w:jc w:val="both"/>
        <w:rPr>
          <w:rFonts w:asciiTheme="minorHAnsi" w:eastAsia="Times New Roman" w:hAnsiTheme="minorHAnsi" w:cs="Times New Roman"/>
        </w:rPr>
      </w:pPr>
    </w:p>
    <w:p w14:paraId="4AE78DA5" w14:textId="77777777" w:rsidR="00942744" w:rsidRDefault="00942744">
      <w:pPr>
        <w:pStyle w:val="Odstavecseseznamem"/>
        <w:widowControl w:val="0"/>
        <w:spacing w:after="200" w:line="240" w:lineRule="auto"/>
        <w:ind w:left="567"/>
        <w:jc w:val="both"/>
        <w:rPr>
          <w:rFonts w:asciiTheme="minorHAnsi" w:eastAsia="Times New Roman" w:hAnsiTheme="minorHAnsi" w:cs="Times New Roman"/>
        </w:rPr>
      </w:pPr>
    </w:p>
    <w:p w14:paraId="3031D21A" w14:textId="77777777" w:rsidR="00942744" w:rsidRDefault="007211E8">
      <w:pPr>
        <w:pStyle w:val="Nadpiss3"/>
        <w:numPr>
          <w:ilvl w:val="0"/>
          <w:numId w:val="16"/>
        </w:numPr>
        <w:ind w:left="425" w:hanging="85"/>
      </w:pPr>
      <w:bookmarkStart w:id="25" w:name="_Toc34659571"/>
      <w:r>
        <w:t>Nákup občerstvení</w:t>
      </w:r>
      <w:bookmarkEnd w:id="25"/>
    </w:p>
    <w:p w14:paraId="0255FD26" w14:textId="77777777" w:rsidR="00942744" w:rsidRDefault="007211E8">
      <w:pPr>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Kurzy – limit je 150,- Kč na účastníka a den po dobu trvání výuky. </w:t>
      </w:r>
    </w:p>
    <w:p w14:paraId="37DD5C25" w14:textId="275C4B8A" w:rsidR="00942744" w:rsidRDefault="00942744">
      <w:pPr>
        <w:spacing w:after="288" w:line="240" w:lineRule="auto"/>
        <w:contextualSpacing/>
        <w:rPr>
          <w:rFonts w:asciiTheme="minorHAnsi" w:eastAsia="Times New Roman" w:hAnsiTheme="minorHAnsi" w:cs="Times New Roman"/>
        </w:rPr>
      </w:pPr>
    </w:p>
    <w:p w14:paraId="1ACAC4BA" w14:textId="77777777" w:rsidR="00F50186" w:rsidRDefault="00F50186">
      <w:pPr>
        <w:spacing w:after="288" w:line="240" w:lineRule="auto"/>
        <w:contextualSpacing/>
        <w:rPr>
          <w:rFonts w:asciiTheme="minorHAnsi" w:eastAsia="Times New Roman" w:hAnsiTheme="minorHAnsi" w:cs="Times New Roman"/>
        </w:rPr>
      </w:pPr>
    </w:p>
    <w:p w14:paraId="4224B9E8" w14:textId="77777777" w:rsidR="00942744" w:rsidRDefault="007211E8">
      <w:pPr>
        <w:pStyle w:val="Nadpiss3"/>
        <w:numPr>
          <w:ilvl w:val="0"/>
          <w:numId w:val="16"/>
        </w:numPr>
        <w:ind w:left="425" w:hanging="85"/>
      </w:pPr>
      <w:bookmarkStart w:id="26" w:name="_2jxsxqh"/>
      <w:bookmarkStart w:id="27" w:name="_Toc34659572"/>
      <w:bookmarkEnd w:id="26"/>
      <w:r>
        <w:t>Další typy výdajů</w:t>
      </w:r>
      <w:bookmarkEnd w:id="27"/>
    </w:p>
    <w:p w14:paraId="15FCC82F" w14:textId="77777777" w:rsidR="00942744" w:rsidRDefault="007211E8" w:rsidP="00486972">
      <w:pPr>
        <w:widowControl w:val="0"/>
        <w:spacing w:after="60"/>
        <w:rPr>
          <w:rFonts w:asciiTheme="minorHAnsi" w:eastAsia="Times New Roman" w:hAnsiTheme="minorHAnsi" w:cs="Times New Roman"/>
        </w:rPr>
      </w:pPr>
      <w:r>
        <w:rPr>
          <w:rFonts w:asciiTheme="minorHAnsi" w:eastAsia="Times New Roman" w:hAnsiTheme="minorHAnsi" w:cs="Times New Roman"/>
        </w:rPr>
        <w:t>U dalších typů výdajů jsou Příjemci povinni postupovat podle následujících podkapitol Specifických pravidel:</w:t>
      </w:r>
    </w:p>
    <w:p w14:paraId="1D9870D1" w14:textId="77777777" w:rsidR="00942744" w:rsidRDefault="007211E8" w:rsidP="00486972">
      <w:pPr>
        <w:widowControl w:val="0"/>
        <w:spacing w:after="60"/>
        <w:ind w:left="567"/>
        <w:rPr>
          <w:rFonts w:asciiTheme="minorHAnsi" w:eastAsia="Times New Roman" w:hAnsiTheme="minorHAnsi" w:cs="Times New Roman"/>
        </w:rPr>
      </w:pPr>
      <w:r>
        <w:rPr>
          <w:rFonts w:asciiTheme="minorHAnsi" w:eastAsia="Times New Roman" w:hAnsiTheme="minorHAnsi" w:cs="Times New Roman"/>
        </w:rPr>
        <w:t xml:space="preserve">6.2.2 Cestovné </w:t>
      </w:r>
    </w:p>
    <w:p w14:paraId="7C2CCF2C" w14:textId="77777777" w:rsidR="00942744" w:rsidRDefault="007211E8" w:rsidP="00486972">
      <w:pPr>
        <w:widowControl w:val="0"/>
        <w:spacing w:after="60"/>
        <w:ind w:left="567"/>
        <w:rPr>
          <w:rFonts w:asciiTheme="minorHAnsi" w:eastAsia="Times New Roman" w:hAnsiTheme="minorHAnsi" w:cs="Times New Roman"/>
        </w:rPr>
      </w:pPr>
      <w:r>
        <w:rPr>
          <w:rFonts w:asciiTheme="minorHAnsi" w:eastAsia="Times New Roman" w:hAnsiTheme="minorHAnsi" w:cs="Times New Roman"/>
        </w:rPr>
        <w:t>6.2.3 Nákup zařízení a vybavení a spotřebního materiálu</w:t>
      </w:r>
      <w:r w:rsidRPr="00486972">
        <w:footnoteReference w:id="19"/>
      </w:r>
      <w:r>
        <w:rPr>
          <w:rFonts w:asciiTheme="minorHAnsi" w:eastAsia="Times New Roman" w:hAnsiTheme="minorHAnsi" w:cs="Times New Roman"/>
        </w:rPr>
        <w:t xml:space="preserve"> </w:t>
      </w:r>
    </w:p>
    <w:p w14:paraId="5E14D59A" w14:textId="77777777" w:rsidR="00942744" w:rsidRDefault="007211E8" w:rsidP="00486972">
      <w:pPr>
        <w:widowControl w:val="0"/>
        <w:spacing w:after="60"/>
        <w:ind w:left="567"/>
        <w:rPr>
          <w:rFonts w:asciiTheme="minorHAnsi" w:eastAsia="Times New Roman" w:hAnsiTheme="minorHAnsi" w:cs="Times New Roman"/>
        </w:rPr>
      </w:pPr>
      <w:r>
        <w:rPr>
          <w:rFonts w:asciiTheme="minorHAnsi" w:eastAsia="Times New Roman" w:hAnsiTheme="minorHAnsi" w:cs="Times New Roman"/>
        </w:rPr>
        <w:t xml:space="preserve">6.2.4 Nájem či leasing zařízení a vybavení, budov </w:t>
      </w:r>
    </w:p>
    <w:p w14:paraId="60535048" w14:textId="77777777" w:rsidR="00942744" w:rsidRDefault="007211E8" w:rsidP="00486972">
      <w:pPr>
        <w:widowControl w:val="0"/>
        <w:spacing w:after="60"/>
        <w:ind w:left="567"/>
        <w:rPr>
          <w:rFonts w:asciiTheme="minorHAnsi" w:eastAsia="Times New Roman" w:hAnsiTheme="minorHAnsi" w:cs="Times New Roman"/>
        </w:rPr>
      </w:pPr>
      <w:r>
        <w:rPr>
          <w:rFonts w:asciiTheme="minorHAnsi" w:eastAsia="Times New Roman" w:hAnsiTheme="minorHAnsi" w:cs="Times New Roman"/>
        </w:rPr>
        <w:t xml:space="preserve">6.2.5 Odpisy </w:t>
      </w:r>
    </w:p>
    <w:p w14:paraId="773BC41A" w14:textId="77777777" w:rsidR="00942744" w:rsidRDefault="007211E8" w:rsidP="00486972">
      <w:pPr>
        <w:widowControl w:val="0"/>
        <w:spacing w:after="60"/>
        <w:ind w:left="567"/>
        <w:rPr>
          <w:rFonts w:asciiTheme="minorHAnsi" w:eastAsia="Times New Roman" w:hAnsiTheme="minorHAnsi" w:cs="Times New Roman"/>
        </w:rPr>
      </w:pPr>
      <w:r>
        <w:rPr>
          <w:rFonts w:asciiTheme="minorHAnsi" w:eastAsia="Times New Roman" w:hAnsiTheme="minorHAnsi" w:cs="Times New Roman"/>
        </w:rPr>
        <w:t xml:space="preserve">6.2.10 Daň z přidané hodnoty </w:t>
      </w:r>
    </w:p>
    <w:p w14:paraId="4ADF1381" w14:textId="77777777" w:rsidR="00942744" w:rsidRDefault="007211E8">
      <w:pPr>
        <w:pStyle w:val="Nzev"/>
        <w:spacing w:after="288" w:line="240" w:lineRule="auto"/>
        <w:contextualSpacing/>
        <w:rPr>
          <w:rFonts w:asciiTheme="minorHAnsi" w:eastAsia="Times New Roman" w:hAnsiTheme="minorHAnsi" w:cs="Times New Roman"/>
          <w:sz w:val="24"/>
          <w:szCs w:val="24"/>
        </w:rPr>
      </w:pPr>
      <w:bookmarkStart w:id="28" w:name="_z337ya"/>
      <w:bookmarkEnd w:id="28"/>
      <w:r>
        <w:br w:type="page"/>
      </w:r>
    </w:p>
    <w:p w14:paraId="6AFC11A7" w14:textId="77777777" w:rsidR="00942744" w:rsidRDefault="007211E8">
      <w:pPr>
        <w:pStyle w:val="Nadpis1"/>
        <w:numPr>
          <w:ilvl w:val="0"/>
          <w:numId w:val="9"/>
        </w:numPr>
      </w:pPr>
      <w:bookmarkStart w:id="29" w:name="_3j2qqm3"/>
      <w:bookmarkStart w:id="30" w:name="_Toc34659573"/>
      <w:bookmarkEnd w:id="29"/>
      <w:r>
        <w:lastRenderedPageBreak/>
        <w:t>Monitorování a vyúčtování</w:t>
      </w:r>
      <w:bookmarkEnd w:id="30"/>
    </w:p>
    <w:p w14:paraId="633E330B" w14:textId="77777777" w:rsidR="00942744" w:rsidRDefault="00942744"/>
    <w:p w14:paraId="6439251B" w14:textId="77777777" w:rsidR="00942744" w:rsidRDefault="007211E8">
      <w:pPr>
        <w:pStyle w:val="Nadpiss2"/>
        <w:numPr>
          <w:ilvl w:val="0"/>
          <w:numId w:val="20"/>
        </w:numPr>
        <w:ind w:left="567" w:hanging="567"/>
      </w:pPr>
      <w:bookmarkStart w:id="31" w:name="_4i7ojhp"/>
      <w:bookmarkStart w:id="32" w:name="_1y810tw"/>
      <w:bookmarkStart w:id="33" w:name="_Toc34659574"/>
      <w:bookmarkEnd w:id="31"/>
      <w:bookmarkEnd w:id="32"/>
      <w:r>
        <w:t>Obecné pokyny</w:t>
      </w:r>
      <w:bookmarkEnd w:id="33"/>
    </w:p>
    <w:p w14:paraId="7F515D2A" w14:textId="77777777" w:rsidR="00942744" w:rsidRDefault="00942744">
      <w:pPr>
        <w:pStyle w:val="Bezmezer"/>
      </w:pPr>
    </w:p>
    <w:p w14:paraId="6F7004B9" w14:textId="43EDC7BF" w:rsidR="00942744" w:rsidRDefault="007211E8">
      <w:pPr>
        <w:numPr>
          <w:ilvl w:val="0"/>
          <w:numId w:val="21"/>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Podklady za jednotlivá monitorovací období</w:t>
      </w:r>
      <w:r>
        <w:rPr>
          <w:rStyle w:val="Ukotvenpoznmkypodarou"/>
          <w:rFonts w:asciiTheme="minorHAnsi" w:eastAsia="Times New Roman" w:hAnsiTheme="minorHAnsi" w:cs="Times New Roman"/>
        </w:rPr>
        <w:footnoteReference w:id="20"/>
      </w:r>
      <w:r>
        <w:rPr>
          <w:rFonts w:asciiTheme="minorHAnsi" w:eastAsia="Times New Roman" w:hAnsiTheme="minorHAnsi" w:cs="Times New Roman"/>
        </w:rPr>
        <w:t xml:space="preserve"> jsou MZ předkládány ke kontrole </w:t>
      </w:r>
      <w:r>
        <w:rPr>
          <w:rFonts w:asciiTheme="minorHAnsi" w:eastAsia="Times New Roman" w:hAnsiTheme="minorHAnsi" w:cs="Times New Roman"/>
          <w:b/>
        </w:rPr>
        <w:t>v listinné a/nebo elektronické podobě</w:t>
      </w:r>
      <w:r>
        <w:rPr>
          <w:rFonts w:asciiTheme="minorHAnsi" w:eastAsia="Times New Roman" w:hAnsiTheme="minorHAnsi" w:cs="Times New Roman"/>
        </w:rPr>
        <w:t xml:space="preserve">: </w:t>
      </w:r>
    </w:p>
    <w:p w14:paraId="37721FC6" w14:textId="77777777" w:rsidR="00942744" w:rsidRPr="009160F6" w:rsidRDefault="007211E8">
      <w:pPr>
        <w:numPr>
          <w:ilvl w:val="0"/>
          <w:numId w:val="22"/>
        </w:numPr>
        <w:spacing w:after="200"/>
        <w:ind w:left="1134" w:hanging="567"/>
        <w:jc w:val="both"/>
        <w:rPr>
          <w:rFonts w:asciiTheme="minorHAnsi" w:eastAsia="Times New Roman" w:hAnsiTheme="minorHAnsi" w:cs="Times New Roman"/>
        </w:rPr>
      </w:pPr>
      <w:r>
        <w:rPr>
          <w:rFonts w:asciiTheme="minorHAnsi" w:eastAsia="Times New Roman" w:hAnsiTheme="minorHAnsi" w:cs="Times New Roman"/>
        </w:rPr>
        <w:t xml:space="preserve">v listinné podobě: doručení na adresu MZ uvedenou v Rozhodnutí (na obálku je třeba uvést Odbor evropských fondů a investičního rozvoje a název Projektu), případně </w:t>
      </w:r>
      <w:r w:rsidRPr="009160F6">
        <w:rPr>
          <w:rFonts w:asciiTheme="minorHAnsi" w:eastAsia="Times New Roman" w:hAnsiTheme="minorHAnsi" w:cs="Times New Roman"/>
        </w:rPr>
        <w:t>datovou schránkou;</w:t>
      </w:r>
    </w:p>
    <w:p w14:paraId="3039BE6E" w14:textId="77777777" w:rsidR="00942744" w:rsidRPr="009160F6" w:rsidRDefault="007211E8">
      <w:pPr>
        <w:numPr>
          <w:ilvl w:val="0"/>
          <w:numId w:val="22"/>
        </w:numPr>
        <w:spacing w:after="200"/>
        <w:ind w:left="1134" w:hanging="567"/>
        <w:jc w:val="both"/>
      </w:pPr>
      <w:r w:rsidRPr="009160F6">
        <w:rPr>
          <w:rFonts w:asciiTheme="minorHAnsi" w:eastAsia="Times New Roman" w:hAnsiTheme="minorHAnsi" w:cs="Times New Roman"/>
        </w:rPr>
        <w:t xml:space="preserve">v elektronické podobě </w:t>
      </w:r>
      <w:r w:rsidRPr="009160F6">
        <w:rPr>
          <w:rFonts w:eastAsia="Cambria"/>
          <w:sz w:val="24"/>
          <w:szCs w:val="24"/>
        </w:rPr>
        <w:t>(</w:t>
      </w:r>
      <w:proofErr w:type="spellStart"/>
      <w:r w:rsidRPr="009160F6">
        <w:rPr>
          <w:rFonts w:asciiTheme="minorHAnsi" w:eastAsia="Times New Roman" w:hAnsiTheme="minorHAnsi" w:cs="Times New Roman"/>
        </w:rPr>
        <w:t>skeny</w:t>
      </w:r>
      <w:proofErr w:type="spellEnd"/>
      <w:r w:rsidRPr="009160F6">
        <w:rPr>
          <w:rFonts w:asciiTheme="minorHAnsi" w:eastAsia="Times New Roman" w:hAnsiTheme="minorHAnsi" w:cs="Times New Roman"/>
        </w:rPr>
        <w:t xml:space="preserve"> – </w:t>
      </w:r>
      <w:proofErr w:type="spellStart"/>
      <w:r w:rsidRPr="009160F6">
        <w:rPr>
          <w:rFonts w:asciiTheme="minorHAnsi" w:eastAsia="Times New Roman" w:hAnsiTheme="minorHAnsi" w:cs="Times New Roman"/>
        </w:rPr>
        <w:t>pdf</w:t>
      </w:r>
      <w:proofErr w:type="spellEnd"/>
      <w:r w:rsidRPr="009160F6">
        <w:rPr>
          <w:rFonts w:asciiTheme="minorHAnsi" w:eastAsia="Times New Roman" w:hAnsiTheme="minorHAnsi" w:cs="Times New Roman"/>
        </w:rPr>
        <w:t xml:space="preserve"> či jiné, příp. editovatelné formáty)</w:t>
      </w:r>
      <w:r w:rsidRPr="009160F6">
        <w:rPr>
          <w:rFonts w:eastAsia="Cambria"/>
          <w:sz w:val="24"/>
          <w:szCs w:val="24"/>
        </w:rPr>
        <w:t xml:space="preserve"> </w:t>
      </w:r>
      <w:r w:rsidRPr="009160F6">
        <w:rPr>
          <w:rFonts w:asciiTheme="minorHAnsi" w:eastAsia="Times New Roman" w:hAnsiTheme="minorHAnsi" w:cs="Times New Roman"/>
        </w:rPr>
        <w:t xml:space="preserve">elektronickou poštou na adresu </w:t>
      </w:r>
      <w:hyperlink r:id="rId9">
        <w:r w:rsidRPr="009160F6">
          <w:rPr>
            <w:rStyle w:val="Internetovodkaz"/>
            <w:rFonts w:asciiTheme="minorHAnsi" w:eastAsia="Times New Roman" w:hAnsiTheme="minorHAnsi" w:cs="Times New Roman"/>
            <w:webHidden/>
            <w:color w:val="0070C0"/>
          </w:rPr>
          <w:t>neurologove@mzcr.cz</w:t>
        </w:r>
      </w:hyperlink>
      <w:r w:rsidRPr="009160F6">
        <w:rPr>
          <w:rFonts w:asciiTheme="minorHAnsi" w:eastAsia="Times New Roman" w:hAnsiTheme="minorHAnsi" w:cs="Times New Roman"/>
        </w:rPr>
        <w:t xml:space="preserve">. </w:t>
      </w:r>
    </w:p>
    <w:p w14:paraId="324B5116" w14:textId="5129EDE8" w:rsidR="00942744" w:rsidRPr="009160F6" w:rsidRDefault="007211E8">
      <w:pPr>
        <w:pStyle w:val="Odstavecseseznamem"/>
        <w:numPr>
          <w:ilvl w:val="0"/>
          <w:numId w:val="21"/>
        </w:numPr>
        <w:spacing w:after="200"/>
        <w:ind w:left="567" w:hanging="567"/>
        <w:jc w:val="both"/>
        <w:rPr>
          <w:rFonts w:asciiTheme="minorHAnsi" w:eastAsia="Times New Roman" w:hAnsiTheme="minorHAnsi" w:cs="Times New Roman"/>
        </w:rPr>
      </w:pPr>
      <w:r w:rsidRPr="009160F6">
        <w:rPr>
          <w:rFonts w:asciiTheme="minorHAnsi" w:eastAsia="Times New Roman" w:hAnsiTheme="minorHAnsi" w:cs="Times New Roman"/>
        </w:rPr>
        <w:t xml:space="preserve">Délka monitorovacích období je stanovena v Rozhodnutí. </w:t>
      </w:r>
      <w:r w:rsidR="00783240" w:rsidRPr="009160F6">
        <w:rPr>
          <w:rFonts w:asciiTheme="minorHAnsi" w:eastAsia="Times New Roman" w:hAnsiTheme="minorHAnsi" w:cs="Times New Roman"/>
        </w:rPr>
        <w:t>M</w:t>
      </w:r>
      <w:r w:rsidRPr="009160F6">
        <w:rPr>
          <w:rFonts w:asciiTheme="minorHAnsi" w:eastAsia="Times New Roman" w:hAnsiTheme="minorHAnsi" w:cs="Times New Roman"/>
        </w:rPr>
        <w:t>onitorovací období se však zkrátí v případě, že Vzdělávací pracoviště ukončí realizaci požadovaných KA</w:t>
      </w:r>
      <w:r w:rsidR="002A7CF4" w:rsidRPr="009160F6">
        <w:rPr>
          <w:rFonts w:asciiTheme="minorHAnsi" w:eastAsia="Times New Roman" w:hAnsiTheme="minorHAnsi" w:cs="Times New Roman"/>
        </w:rPr>
        <w:t>.</w:t>
      </w:r>
      <w:r w:rsidRPr="009160F6">
        <w:rPr>
          <w:rFonts w:asciiTheme="minorHAnsi" w:eastAsia="Times New Roman" w:hAnsiTheme="minorHAnsi" w:cs="Times New Roman"/>
        </w:rPr>
        <w:t xml:space="preserve"> </w:t>
      </w:r>
      <w:r w:rsidR="002A7CF4" w:rsidRPr="009160F6">
        <w:rPr>
          <w:rFonts w:asciiTheme="minorHAnsi" w:eastAsia="Times New Roman" w:hAnsiTheme="minorHAnsi" w:cs="Times New Roman"/>
        </w:rPr>
        <w:t>P</w:t>
      </w:r>
      <w:r w:rsidR="006742F3" w:rsidRPr="009160F6">
        <w:rPr>
          <w:rFonts w:asciiTheme="minorHAnsi" w:eastAsia="Times New Roman" w:hAnsiTheme="minorHAnsi" w:cs="Times New Roman"/>
        </w:rPr>
        <w:t xml:space="preserve">oslední </w:t>
      </w:r>
      <w:r w:rsidRPr="009160F6">
        <w:rPr>
          <w:rFonts w:asciiTheme="minorHAnsi" w:eastAsia="Times New Roman" w:hAnsiTheme="minorHAnsi" w:cs="Times New Roman"/>
        </w:rPr>
        <w:t xml:space="preserve">monitorovací období pak končí posledním dnem </w:t>
      </w:r>
      <w:r w:rsidR="006742F3" w:rsidRPr="009160F6">
        <w:rPr>
          <w:rFonts w:asciiTheme="minorHAnsi" w:eastAsia="Times New Roman" w:hAnsiTheme="minorHAnsi" w:cs="Times New Roman"/>
        </w:rPr>
        <w:t xml:space="preserve">kalendářního měsíce, ve kterém byla uskutečněna </w:t>
      </w:r>
      <w:r w:rsidRPr="009160F6">
        <w:rPr>
          <w:rFonts w:asciiTheme="minorHAnsi" w:eastAsia="Times New Roman" w:hAnsiTheme="minorHAnsi" w:cs="Times New Roman"/>
        </w:rPr>
        <w:t>poslední KA</w:t>
      </w:r>
      <w:r w:rsidR="00530CD5" w:rsidRPr="009160F6">
        <w:rPr>
          <w:rFonts w:asciiTheme="minorHAnsi" w:eastAsia="Times New Roman" w:hAnsiTheme="minorHAnsi" w:cs="Times New Roman"/>
        </w:rPr>
        <w:t>.</w:t>
      </w:r>
      <w:r w:rsidR="006742F3" w:rsidRPr="009160F6">
        <w:rPr>
          <w:rFonts w:asciiTheme="minorHAnsi" w:eastAsia="Times New Roman" w:hAnsiTheme="minorHAnsi" w:cs="Times New Roman"/>
        </w:rPr>
        <w:t xml:space="preserve"> </w:t>
      </w:r>
      <w:r w:rsidRPr="009160F6">
        <w:rPr>
          <w:rFonts w:asciiTheme="minorHAnsi" w:eastAsia="Times New Roman" w:hAnsiTheme="minorHAnsi" w:cs="Times New Roman"/>
        </w:rPr>
        <w:t>O ukončení realizace požadovaných KA informuje MZ Příjemce.</w:t>
      </w:r>
    </w:p>
    <w:p w14:paraId="0E728BA4" w14:textId="77777777" w:rsidR="00942744" w:rsidRPr="009160F6" w:rsidRDefault="007211E8">
      <w:pPr>
        <w:pStyle w:val="Odstavecseseznamem"/>
        <w:numPr>
          <w:ilvl w:val="0"/>
          <w:numId w:val="21"/>
        </w:numPr>
        <w:spacing w:after="200"/>
        <w:ind w:left="567" w:hanging="567"/>
        <w:jc w:val="both"/>
        <w:rPr>
          <w:rFonts w:asciiTheme="minorHAnsi" w:eastAsia="Times New Roman" w:hAnsiTheme="minorHAnsi" w:cs="Times New Roman"/>
        </w:rPr>
      </w:pPr>
      <w:r w:rsidRPr="009160F6">
        <w:rPr>
          <w:rFonts w:asciiTheme="minorHAnsi" w:eastAsia="Times New Roman" w:hAnsiTheme="minorHAnsi" w:cs="Times New Roman"/>
        </w:rPr>
        <w:t xml:space="preserve">V případě, že na straně Příjemce podpis připojuje zmocněnec, musí Příjemce dodat originál či ověřenou kopii příslušné plné moci (vzor plné moci / pověření je uveden v příloze č. 1). </w:t>
      </w:r>
    </w:p>
    <w:p w14:paraId="5B63D377" w14:textId="77777777" w:rsidR="00942744" w:rsidRPr="009160F6" w:rsidRDefault="007211E8">
      <w:pPr>
        <w:pStyle w:val="Odstavecseseznamem"/>
        <w:widowControl w:val="0"/>
        <w:numPr>
          <w:ilvl w:val="0"/>
          <w:numId w:val="21"/>
        </w:numPr>
        <w:spacing w:after="200"/>
        <w:ind w:left="567" w:hanging="567"/>
        <w:jc w:val="both"/>
      </w:pPr>
      <w:r w:rsidRPr="009160F6">
        <w:rPr>
          <w:rFonts w:asciiTheme="minorHAnsi" w:eastAsia="Times New Roman" w:hAnsiTheme="minorHAnsi" w:cs="Times New Roman"/>
        </w:rPr>
        <w:t xml:space="preserve">V případě potřeby může Příjemce písemně (e-mailem na adresu </w:t>
      </w:r>
      <w:hyperlink r:id="rId10">
        <w:r w:rsidRPr="009160F6">
          <w:rPr>
            <w:rStyle w:val="Internetovodkaz"/>
            <w:rFonts w:asciiTheme="minorHAnsi" w:eastAsia="Times New Roman" w:hAnsiTheme="minorHAnsi" w:cs="Times New Roman"/>
            <w:webHidden/>
            <w:color w:val="0070C0"/>
          </w:rPr>
          <w:t>neurologove@mzcr.cz</w:t>
        </w:r>
      </w:hyperlink>
      <w:r w:rsidRPr="009160F6">
        <w:rPr>
          <w:rFonts w:asciiTheme="minorHAnsi" w:eastAsia="Times New Roman" w:hAnsiTheme="minorHAnsi" w:cs="Times New Roman"/>
        </w:rPr>
        <w:t>) požádat MZ o prodloužení lhůty pro předkládání dokumentace k průběžnému monitorování a vyúčtování dotace.</w:t>
      </w:r>
    </w:p>
    <w:p w14:paraId="1FB4619C" w14:textId="77777777" w:rsidR="00942744" w:rsidRPr="009160F6" w:rsidRDefault="007211E8">
      <w:pPr>
        <w:pStyle w:val="Odstavecseseznamem"/>
        <w:numPr>
          <w:ilvl w:val="0"/>
          <w:numId w:val="21"/>
        </w:numPr>
        <w:spacing w:after="200"/>
        <w:ind w:left="567" w:hanging="567"/>
        <w:jc w:val="both"/>
      </w:pPr>
      <w:r w:rsidRPr="009160F6">
        <w:rPr>
          <w:rFonts w:asciiTheme="minorHAnsi" w:eastAsia="Times New Roman" w:hAnsiTheme="minorHAnsi" w:cs="Times New Roman"/>
        </w:rPr>
        <w:t xml:space="preserve">Doporučujeme podklady a zejména tabulky vyúčtovaných výdajů před odesláním v listinné podobě na MZ </w:t>
      </w:r>
      <w:r w:rsidRPr="009160F6">
        <w:rPr>
          <w:rFonts w:asciiTheme="minorHAnsi" w:eastAsia="Times New Roman" w:hAnsiTheme="minorHAnsi" w:cs="Times New Roman"/>
          <w:u w:val="single"/>
        </w:rPr>
        <w:t>konzultovat s projektovým manažerem</w:t>
      </w:r>
      <w:r w:rsidRPr="009160F6">
        <w:rPr>
          <w:rFonts w:asciiTheme="minorHAnsi" w:eastAsia="Times New Roman" w:hAnsiTheme="minorHAnsi" w:cs="Times New Roman"/>
        </w:rPr>
        <w:t xml:space="preserve">, a to zasláním na adresu </w:t>
      </w:r>
      <w:hyperlink r:id="rId11">
        <w:r w:rsidRPr="009160F6">
          <w:rPr>
            <w:rStyle w:val="Internetovodkaz"/>
            <w:rFonts w:asciiTheme="minorHAnsi" w:eastAsia="Times New Roman" w:hAnsiTheme="minorHAnsi" w:cs="Times New Roman"/>
            <w:webHidden/>
            <w:color w:val="0070C0"/>
          </w:rPr>
          <w:t>neurologove@mzcr.cz</w:t>
        </w:r>
      </w:hyperlink>
      <w:r w:rsidRPr="009160F6">
        <w:rPr>
          <w:rFonts w:asciiTheme="minorHAnsi" w:eastAsia="Times New Roman" w:hAnsiTheme="minorHAnsi" w:cs="Times New Roman"/>
        </w:rPr>
        <w:t>.</w:t>
      </w:r>
    </w:p>
    <w:p w14:paraId="45C11E2B" w14:textId="2EE2B3AF" w:rsidR="00942744" w:rsidRPr="00526CFD" w:rsidRDefault="007211E8" w:rsidP="00526CFD">
      <w:pPr>
        <w:pStyle w:val="Odstavecseseznamem"/>
        <w:numPr>
          <w:ilvl w:val="0"/>
          <w:numId w:val="21"/>
        </w:numPr>
        <w:spacing w:after="200"/>
        <w:ind w:left="567" w:hanging="567"/>
        <w:jc w:val="both"/>
        <w:rPr>
          <w:rFonts w:asciiTheme="minorHAnsi" w:eastAsia="Times New Roman" w:hAnsiTheme="minorHAnsi" w:cs="Times New Roman"/>
          <w:sz w:val="24"/>
          <w:szCs w:val="24"/>
        </w:rPr>
      </w:pPr>
      <w:r w:rsidRPr="00526CFD">
        <w:rPr>
          <w:rFonts w:asciiTheme="minorHAnsi" w:eastAsia="Times New Roman" w:hAnsiTheme="minorHAnsi" w:cs="Times New Roman"/>
        </w:rPr>
        <w:t>Originály</w:t>
      </w:r>
      <w:r w:rsidR="00E44DD3" w:rsidRPr="009160F6">
        <w:rPr>
          <w:rFonts w:asciiTheme="minorHAnsi" w:hAnsiTheme="minorHAnsi"/>
          <w:vertAlign w:val="superscript"/>
        </w:rPr>
        <w:footnoteReference w:id="21"/>
      </w:r>
      <w:r w:rsidRPr="00526CFD">
        <w:rPr>
          <w:rFonts w:asciiTheme="minorHAnsi" w:eastAsia="Times New Roman" w:hAnsiTheme="minorHAnsi" w:cs="Times New Roman"/>
        </w:rPr>
        <w:t xml:space="preserve"> veškerých podkladů a dalších dokladů, dokumentů apod. souvisejících s realizací Projektu mohou být předmětem kontroly na místě. </w:t>
      </w:r>
    </w:p>
    <w:p w14:paraId="4A140429" w14:textId="77777777" w:rsidR="00526CFD" w:rsidRPr="00526CFD" w:rsidRDefault="00526CFD" w:rsidP="00526CFD">
      <w:pPr>
        <w:pStyle w:val="Odstavecseseznamem"/>
        <w:spacing w:after="200"/>
        <w:ind w:left="567"/>
        <w:jc w:val="both"/>
        <w:rPr>
          <w:rFonts w:asciiTheme="minorHAnsi" w:eastAsia="Times New Roman" w:hAnsiTheme="minorHAnsi" w:cs="Times New Roman"/>
          <w:sz w:val="24"/>
          <w:szCs w:val="24"/>
        </w:rPr>
      </w:pPr>
    </w:p>
    <w:p w14:paraId="1CAF392E" w14:textId="77777777" w:rsidR="00942744" w:rsidRDefault="007211E8" w:rsidP="00B342B1">
      <w:pPr>
        <w:pStyle w:val="Nadpiss2"/>
        <w:numPr>
          <w:ilvl w:val="0"/>
          <w:numId w:val="20"/>
        </w:numPr>
        <w:ind w:left="567" w:hanging="567"/>
      </w:pPr>
      <w:bookmarkStart w:id="34" w:name="_2xcytpi"/>
      <w:bookmarkStart w:id="35" w:name="_Toc34659575"/>
      <w:bookmarkEnd w:id="34"/>
      <w:r>
        <w:t>Seznam podkladů</w:t>
      </w:r>
      <w:bookmarkEnd w:id="35"/>
    </w:p>
    <w:p w14:paraId="09316039" w14:textId="77777777" w:rsidR="00942744" w:rsidRDefault="00942744">
      <w:pPr>
        <w:pStyle w:val="Bezmezer"/>
      </w:pPr>
    </w:p>
    <w:p w14:paraId="46451B43" w14:textId="582F64C7" w:rsidR="00942744" w:rsidRPr="00486972" w:rsidRDefault="007211E8" w:rsidP="00486972">
      <w:pPr>
        <w:pStyle w:val="Odstavecseseznamem"/>
        <w:numPr>
          <w:ilvl w:val="0"/>
          <w:numId w:val="33"/>
        </w:numPr>
        <w:spacing w:after="200"/>
        <w:ind w:left="567" w:hanging="567"/>
        <w:rPr>
          <w:rFonts w:asciiTheme="minorHAnsi" w:hAnsiTheme="minorHAnsi"/>
          <w:b/>
        </w:rPr>
      </w:pPr>
      <w:r w:rsidRPr="00486972">
        <w:rPr>
          <w:rFonts w:asciiTheme="minorHAnsi" w:hAnsiTheme="minorHAnsi"/>
          <w:b/>
        </w:rPr>
        <w:t>Zpráva o realizaci projektu</w:t>
      </w:r>
      <w:r w:rsidR="00E44DD3" w:rsidRPr="00486972">
        <w:rPr>
          <w:rFonts w:asciiTheme="minorHAnsi" w:hAnsiTheme="minorHAnsi"/>
          <w:b/>
        </w:rPr>
        <w:t xml:space="preserve"> – vzdělávací aktivity Projektu</w:t>
      </w:r>
      <w:r w:rsidRPr="00486972">
        <w:rPr>
          <w:rFonts w:asciiTheme="minorHAnsi" w:hAnsiTheme="minorHAnsi"/>
          <w:b/>
        </w:rPr>
        <w:t xml:space="preserve"> </w:t>
      </w:r>
    </w:p>
    <w:p w14:paraId="03CB9521" w14:textId="77777777" w:rsidR="007546C0" w:rsidRPr="007546C0" w:rsidRDefault="007546C0" w:rsidP="006F133D">
      <w:pPr>
        <w:pStyle w:val="Odstavecseseznamem"/>
        <w:ind w:left="567"/>
        <w:jc w:val="both"/>
        <w:rPr>
          <w:rFonts w:asciiTheme="minorHAnsi" w:eastAsia="Times New Roman" w:hAnsiTheme="minorHAnsi" w:cs="Times New Roman"/>
        </w:rPr>
      </w:pPr>
      <w:r w:rsidRPr="007546C0">
        <w:rPr>
          <w:rFonts w:asciiTheme="minorHAnsi" w:eastAsia="Times New Roman" w:hAnsiTheme="minorHAnsi" w:cs="Times New Roman"/>
        </w:rPr>
        <w:t>Typ podání: v tištěné podobě (originál).</w:t>
      </w:r>
    </w:p>
    <w:p w14:paraId="3424CE55" w14:textId="77777777" w:rsidR="007546C0" w:rsidRPr="007546C0" w:rsidRDefault="007546C0" w:rsidP="006F133D">
      <w:pPr>
        <w:pStyle w:val="Odstavecseseznamem"/>
        <w:ind w:left="567"/>
        <w:jc w:val="both"/>
        <w:rPr>
          <w:rFonts w:eastAsia="Calibri"/>
          <w:sz w:val="24"/>
          <w:szCs w:val="24"/>
        </w:rPr>
      </w:pPr>
      <w:r w:rsidRPr="007546C0">
        <w:rPr>
          <w:rFonts w:asciiTheme="minorHAnsi" w:eastAsia="Times New Roman" w:hAnsiTheme="minorHAnsi" w:cs="Times New Roman"/>
        </w:rPr>
        <w:t>Příjemce uchovává kopii.</w:t>
      </w:r>
    </w:p>
    <w:p w14:paraId="214C3CFE" w14:textId="2B51235A" w:rsidR="00914647" w:rsidRDefault="007211E8">
      <w:pPr>
        <w:spacing w:after="288" w:line="240" w:lineRule="auto"/>
        <w:ind w:left="567"/>
        <w:contextualSpacing/>
        <w:jc w:val="both"/>
        <w:rPr>
          <w:rFonts w:asciiTheme="minorHAnsi" w:eastAsia="Times New Roman" w:hAnsiTheme="minorHAnsi" w:cs="Times New Roman"/>
        </w:rPr>
      </w:pPr>
      <w:r>
        <w:rPr>
          <w:rFonts w:asciiTheme="minorHAnsi" w:eastAsia="Times New Roman" w:hAnsiTheme="minorHAnsi" w:cs="Times New Roman"/>
        </w:rPr>
        <w:t>Zpráva o realizaci projektu za celé monitorovací období s podpisem statutárního zástupce.</w:t>
      </w:r>
      <w:r w:rsidR="00914647">
        <w:rPr>
          <w:rFonts w:asciiTheme="minorHAnsi" w:eastAsia="Times New Roman" w:hAnsiTheme="minorHAnsi" w:cs="Times New Roman"/>
        </w:rPr>
        <w:t xml:space="preserve"> </w:t>
      </w:r>
      <w:r w:rsidR="00914647" w:rsidRPr="00905244">
        <w:rPr>
          <w:rFonts w:asciiTheme="minorHAnsi" w:eastAsia="Times New Roman" w:hAnsiTheme="minorHAnsi" w:cs="Times New Roman"/>
        </w:rPr>
        <w:t>Vzor Zprávy o realizaci je uveden v příloze č. 2.</w:t>
      </w:r>
      <w:r w:rsidR="00914647" w:rsidRPr="00905244">
        <w:rPr>
          <w:rFonts w:asciiTheme="minorHAnsi" w:eastAsia="Times New Roman" w:hAnsiTheme="minorHAnsi" w:cs="Times New Roman"/>
          <w:vertAlign w:val="superscript"/>
        </w:rPr>
        <w:footnoteReference w:id="22"/>
      </w:r>
      <w:r w:rsidR="00914647" w:rsidRPr="00905244">
        <w:rPr>
          <w:vertAlign w:val="superscript"/>
        </w:rPr>
        <w:t xml:space="preserve"> </w:t>
      </w:r>
    </w:p>
    <w:p w14:paraId="135AE4D1" w14:textId="77777777" w:rsidR="00942744" w:rsidRPr="00486972" w:rsidRDefault="007211E8" w:rsidP="00486972">
      <w:pPr>
        <w:pStyle w:val="Odstavecseseznamem"/>
        <w:numPr>
          <w:ilvl w:val="0"/>
          <w:numId w:val="33"/>
        </w:numPr>
        <w:spacing w:after="200"/>
        <w:ind w:left="567" w:hanging="567"/>
        <w:rPr>
          <w:rFonts w:asciiTheme="minorHAnsi" w:hAnsiTheme="minorHAnsi"/>
          <w:b/>
        </w:rPr>
      </w:pPr>
      <w:r w:rsidRPr="00486972">
        <w:rPr>
          <w:rFonts w:asciiTheme="minorHAnsi" w:hAnsiTheme="minorHAnsi"/>
          <w:b/>
        </w:rPr>
        <w:lastRenderedPageBreak/>
        <w:t xml:space="preserve">Tabulka „Vyúčtování výdajů – realizace kurzů a praxí“ </w:t>
      </w:r>
    </w:p>
    <w:p w14:paraId="66A88318" w14:textId="77777777" w:rsidR="007546C0" w:rsidRPr="007546C0" w:rsidRDefault="007546C0" w:rsidP="006F133D">
      <w:pPr>
        <w:pStyle w:val="Odstavecseseznamem"/>
        <w:ind w:left="567"/>
        <w:jc w:val="both"/>
        <w:rPr>
          <w:rFonts w:asciiTheme="minorHAnsi" w:eastAsia="Times New Roman" w:hAnsiTheme="minorHAnsi" w:cs="Times New Roman"/>
        </w:rPr>
      </w:pPr>
      <w:r w:rsidRPr="007546C0">
        <w:rPr>
          <w:rFonts w:asciiTheme="minorHAnsi" w:eastAsia="Times New Roman" w:hAnsiTheme="minorHAnsi" w:cs="Times New Roman"/>
        </w:rPr>
        <w:t xml:space="preserve">Typ podání: v tištěné (originál) i elektronické podobě (editovatelný formát: nejlépe </w:t>
      </w:r>
      <w:proofErr w:type="spellStart"/>
      <w:r w:rsidRPr="007546C0">
        <w:rPr>
          <w:rFonts w:asciiTheme="minorHAnsi" w:eastAsia="Times New Roman" w:hAnsiTheme="minorHAnsi" w:cs="Times New Roman"/>
        </w:rPr>
        <w:t>xls</w:t>
      </w:r>
      <w:proofErr w:type="spellEnd"/>
      <w:r w:rsidRPr="007546C0">
        <w:rPr>
          <w:rFonts w:asciiTheme="minorHAnsi" w:eastAsia="Times New Roman" w:hAnsiTheme="minorHAnsi" w:cs="Times New Roman"/>
        </w:rPr>
        <w:t xml:space="preserve"> či </w:t>
      </w:r>
      <w:proofErr w:type="spellStart"/>
      <w:r w:rsidRPr="007546C0">
        <w:rPr>
          <w:rFonts w:asciiTheme="minorHAnsi" w:eastAsia="Times New Roman" w:hAnsiTheme="minorHAnsi" w:cs="Times New Roman"/>
        </w:rPr>
        <w:t>xlsx</w:t>
      </w:r>
      <w:proofErr w:type="spellEnd"/>
      <w:r w:rsidRPr="007546C0">
        <w:rPr>
          <w:rFonts w:asciiTheme="minorHAnsi" w:eastAsia="Times New Roman" w:hAnsiTheme="minorHAnsi" w:cs="Times New Roman"/>
        </w:rPr>
        <w:t>).</w:t>
      </w:r>
    </w:p>
    <w:p w14:paraId="69BA2401" w14:textId="77777777" w:rsidR="007546C0" w:rsidRPr="007546C0" w:rsidRDefault="007546C0" w:rsidP="006F133D">
      <w:pPr>
        <w:pStyle w:val="Odstavecseseznamem"/>
        <w:ind w:left="567"/>
        <w:jc w:val="both"/>
        <w:rPr>
          <w:rFonts w:asciiTheme="minorHAnsi" w:eastAsia="Times New Roman" w:hAnsiTheme="minorHAnsi" w:cs="Times New Roman"/>
        </w:rPr>
      </w:pPr>
      <w:r w:rsidRPr="007546C0">
        <w:rPr>
          <w:rFonts w:asciiTheme="minorHAnsi" w:eastAsia="Times New Roman" w:hAnsiTheme="minorHAnsi" w:cs="Times New Roman"/>
        </w:rPr>
        <w:t>Příjemce uchovává kopii.</w:t>
      </w:r>
    </w:p>
    <w:p w14:paraId="2108D043" w14:textId="62C60704" w:rsidR="00942744" w:rsidRDefault="007211E8">
      <w:pPr>
        <w:spacing w:after="288" w:line="240" w:lineRule="auto"/>
        <w:ind w:left="567"/>
        <w:contextualSpacing/>
        <w:jc w:val="both"/>
        <w:rPr>
          <w:rFonts w:asciiTheme="minorHAnsi" w:eastAsia="Times New Roman" w:hAnsiTheme="minorHAnsi" w:cs="Times New Roman"/>
        </w:rPr>
      </w:pPr>
      <w:r>
        <w:rPr>
          <w:rFonts w:asciiTheme="minorHAnsi" w:eastAsia="Times New Roman" w:hAnsiTheme="minorHAnsi" w:cs="Times New Roman"/>
        </w:rPr>
        <w:t xml:space="preserve">Tabulka vyúčtování za celé monitorovací období s podpisem statutárního zástupce. </w:t>
      </w:r>
    </w:p>
    <w:p w14:paraId="5C80BA84" w14:textId="77777777" w:rsidR="00942744" w:rsidRDefault="007211E8" w:rsidP="006F133D">
      <w:pPr>
        <w:numPr>
          <w:ilvl w:val="0"/>
          <w:numId w:val="25"/>
        </w:numPr>
        <w:spacing w:after="120"/>
        <w:ind w:left="1134" w:hanging="567"/>
        <w:jc w:val="both"/>
        <w:rPr>
          <w:rFonts w:asciiTheme="minorHAnsi" w:eastAsia="Times New Roman" w:hAnsiTheme="minorHAnsi" w:cs="Times New Roman"/>
        </w:rPr>
      </w:pPr>
      <w:r>
        <w:rPr>
          <w:rFonts w:asciiTheme="minorHAnsi" w:eastAsia="Times New Roman" w:hAnsiTheme="minorHAnsi" w:cs="Times New Roman"/>
        </w:rPr>
        <w:t>Maximální limity pro jednotlivé vzdělávací aktivity jsou stanoveny v tomto Metodickém pokynu.</w:t>
      </w:r>
    </w:p>
    <w:p w14:paraId="5180343E" w14:textId="385A1B0F" w:rsidR="00942744" w:rsidRPr="006F133D" w:rsidRDefault="007211E8" w:rsidP="006F133D">
      <w:pPr>
        <w:pStyle w:val="Odstavecseseznamem"/>
        <w:numPr>
          <w:ilvl w:val="0"/>
          <w:numId w:val="25"/>
        </w:numPr>
        <w:spacing w:after="120"/>
        <w:ind w:left="1134" w:hanging="567"/>
        <w:jc w:val="both"/>
        <w:rPr>
          <w:rFonts w:asciiTheme="minorHAnsi" w:hAnsiTheme="minorHAnsi"/>
        </w:rPr>
      </w:pPr>
      <w:r>
        <w:rPr>
          <w:rFonts w:asciiTheme="minorHAnsi" w:eastAsia="Times New Roman" w:hAnsiTheme="minorHAnsi" w:cs="Times New Roman"/>
        </w:rPr>
        <w:t>K tabulce budou přiloženy kopie/</w:t>
      </w:r>
      <w:proofErr w:type="spellStart"/>
      <w:r>
        <w:rPr>
          <w:rFonts w:asciiTheme="minorHAnsi" w:eastAsia="Times New Roman" w:hAnsiTheme="minorHAnsi" w:cs="Times New Roman"/>
        </w:rPr>
        <w:t>skeny</w:t>
      </w:r>
      <w:proofErr w:type="spellEnd"/>
      <w:r>
        <w:rPr>
          <w:rFonts w:asciiTheme="minorHAnsi" w:eastAsia="Times New Roman" w:hAnsiTheme="minorHAnsi" w:cs="Times New Roman"/>
        </w:rPr>
        <w:t xml:space="preserve"> účetních dokladů v případě, pokud částka, která je z nich nárokována jakožto výdaj Projektu, </w:t>
      </w:r>
      <w:r>
        <w:rPr>
          <w:rFonts w:asciiTheme="minorHAnsi" w:eastAsia="Times New Roman" w:hAnsiTheme="minorHAnsi" w:cs="Times New Roman"/>
          <w:u w:val="single"/>
        </w:rPr>
        <w:t>přesahuje 10.000,- Kč</w:t>
      </w:r>
      <w:r>
        <w:rPr>
          <w:rFonts w:asciiTheme="minorHAnsi" w:eastAsia="Times New Roman" w:hAnsiTheme="minorHAnsi" w:cs="Times New Roman"/>
        </w:rPr>
        <w:t>.</w:t>
      </w:r>
    </w:p>
    <w:p w14:paraId="16A1F470" w14:textId="77777777" w:rsidR="005B4CF4" w:rsidRPr="005B4CF4" w:rsidRDefault="005B4CF4" w:rsidP="006F133D">
      <w:pPr>
        <w:pStyle w:val="Odstavecseseznamem"/>
        <w:spacing w:after="120"/>
        <w:ind w:left="1134"/>
        <w:jc w:val="both"/>
        <w:rPr>
          <w:rFonts w:asciiTheme="minorHAnsi" w:eastAsia="Times New Roman" w:hAnsiTheme="minorHAnsi" w:cs="Times New Roman"/>
        </w:rPr>
      </w:pPr>
      <w:r w:rsidRPr="005B4CF4">
        <w:rPr>
          <w:rFonts w:asciiTheme="minorHAnsi" w:eastAsia="Times New Roman" w:hAnsiTheme="minorHAnsi" w:cs="Times New Roman"/>
        </w:rPr>
        <w:t>Typ podání: v tištěné (prostá kopie) nebo elektronické podobě (</w:t>
      </w:r>
      <w:proofErr w:type="spellStart"/>
      <w:r w:rsidRPr="005B4CF4">
        <w:rPr>
          <w:rFonts w:asciiTheme="minorHAnsi" w:eastAsia="Times New Roman" w:hAnsiTheme="minorHAnsi" w:cs="Times New Roman"/>
        </w:rPr>
        <w:t>pdf</w:t>
      </w:r>
      <w:proofErr w:type="spellEnd"/>
      <w:r w:rsidRPr="005B4CF4">
        <w:rPr>
          <w:rFonts w:asciiTheme="minorHAnsi" w:eastAsia="Times New Roman" w:hAnsiTheme="minorHAnsi" w:cs="Times New Roman"/>
        </w:rPr>
        <w:t>).</w:t>
      </w:r>
    </w:p>
    <w:p w14:paraId="5E2B2841" w14:textId="77777777" w:rsidR="005B4CF4" w:rsidRPr="005B4CF4" w:rsidRDefault="005B4CF4" w:rsidP="006F133D">
      <w:pPr>
        <w:pStyle w:val="Odstavecseseznamem"/>
        <w:spacing w:after="120"/>
        <w:ind w:left="1134"/>
        <w:jc w:val="both"/>
        <w:rPr>
          <w:rFonts w:asciiTheme="minorHAnsi" w:eastAsia="Times New Roman" w:hAnsiTheme="minorHAnsi" w:cs="Times New Roman"/>
        </w:rPr>
      </w:pPr>
      <w:r w:rsidRPr="005B4CF4">
        <w:rPr>
          <w:rFonts w:asciiTheme="minorHAnsi" w:eastAsia="Times New Roman" w:hAnsiTheme="minorHAnsi" w:cs="Times New Roman"/>
        </w:rPr>
        <w:t>Zaměstnavatel uchovává originály.</w:t>
      </w:r>
    </w:p>
    <w:p w14:paraId="38B42EF7" w14:textId="77777777" w:rsidR="005B4CF4" w:rsidRPr="005B4CF4" w:rsidRDefault="005B4CF4" w:rsidP="006F133D">
      <w:pPr>
        <w:pStyle w:val="Odstavecseseznamem"/>
        <w:spacing w:after="120"/>
        <w:ind w:left="1134"/>
        <w:jc w:val="both"/>
        <w:rPr>
          <w:rFonts w:asciiTheme="minorHAnsi" w:eastAsia="Times New Roman" w:hAnsiTheme="minorHAnsi" w:cs="Times New Roman"/>
        </w:rPr>
      </w:pPr>
      <w:r w:rsidRPr="005B4CF4">
        <w:rPr>
          <w:rFonts w:asciiTheme="minorHAnsi" w:eastAsia="Times New Roman" w:hAnsiTheme="minorHAnsi" w:cs="Times New Roman"/>
        </w:rPr>
        <w:t>Předmětem kontroly na místě mohou být doklady nad i do 10.000,- Kč.</w:t>
      </w:r>
    </w:p>
    <w:p w14:paraId="0808ECA8" w14:textId="77777777" w:rsidR="00486972" w:rsidRDefault="00486972">
      <w:pPr>
        <w:pStyle w:val="Odstavecseseznamem"/>
        <w:spacing w:after="200"/>
        <w:ind w:left="1134"/>
        <w:jc w:val="both"/>
        <w:rPr>
          <w:rFonts w:asciiTheme="minorHAnsi" w:hAnsiTheme="minorHAnsi"/>
        </w:rPr>
      </w:pPr>
    </w:p>
    <w:p w14:paraId="5E3FB7C8" w14:textId="77777777" w:rsidR="00942744" w:rsidRPr="00486972" w:rsidRDefault="007211E8" w:rsidP="00486972">
      <w:pPr>
        <w:pStyle w:val="Odstavecseseznamem"/>
        <w:numPr>
          <w:ilvl w:val="0"/>
          <w:numId w:val="33"/>
        </w:numPr>
        <w:spacing w:after="200"/>
        <w:ind w:left="567" w:hanging="567"/>
        <w:rPr>
          <w:rFonts w:asciiTheme="minorHAnsi" w:hAnsiTheme="minorHAnsi"/>
          <w:b/>
        </w:rPr>
      </w:pPr>
      <w:r w:rsidRPr="00486972">
        <w:rPr>
          <w:rFonts w:asciiTheme="minorHAnsi" w:hAnsiTheme="minorHAnsi"/>
          <w:b/>
        </w:rPr>
        <w:t>Výpis z bankovního účtu</w:t>
      </w:r>
      <w:r w:rsidRPr="00486972">
        <w:rPr>
          <w:rFonts w:asciiTheme="minorHAnsi" w:hAnsiTheme="minorHAnsi"/>
          <w:b/>
          <w:vertAlign w:val="superscript"/>
        </w:rPr>
        <w:footnoteReference w:id="23"/>
      </w:r>
      <w:r w:rsidRPr="00486972">
        <w:rPr>
          <w:rFonts w:asciiTheme="minorHAnsi" w:hAnsiTheme="minorHAnsi"/>
          <w:b/>
          <w:vertAlign w:val="superscript"/>
        </w:rPr>
        <w:t xml:space="preserve"> </w:t>
      </w:r>
    </w:p>
    <w:p w14:paraId="23F6DAB6" w14:textId="77777777" w:rsidR="007546C0" w:rsidRPr="007546C0" w:rsidRDefault="007546C0" w:rsidP="006F133D">
      <w:pPr>
        <w:pStyle w:val="Odstavecseseznamem"/>
        <w:ind w:left="567"/>
        <w:jc w:val="both"/>
        <w:rPr>
          <w:rFonts w:asciiTheme="minorHAnsi" w:eastAsia="Times New Roman" w:hAnsiTheme="minorHAnsi" w:cs="Times New Roman"/>
        </w:rPr>
      </w:pPr>
      <w:r w:rsidRPr="007546C0">
        <w:rPr>
          <w:rFonts w:asciiTheme="minorHAnsi" w:eastAsia="Times New Roman" w:hAnsiTheme="minorHAnsi" w:cs="Times New Roman"/>
        </w:rPr>
        <w:t>Typ podání: v tištěné (prostá kopie) nebo elektronické podobě (</w:t>
      </w:r>
      <w:proofErr w:type="spellStart"/>
      <w:r w:rsidRPr="007546C0">
        <w:rPr>
          <w:rFonts w:asciiTheme="minorHAnsi" w:eastAsia="Times New Roman" w:hAnsiTheme="minorHAnsi" w:cs="Times New Roman"/>
        </w:rPr>
        <w:t>pdf</w:t>
      </w:r>
      <w:proofErr w:type="spellEnd"/>
      <w:r w:rsidRPr="007546C0">
        <w:rPr>
          <w:rFonts w:asciiTheme="minorHAnsi" w:eastAsia="Times New Roman" w:hAnsiTheme="minorHAnsi" w:cs="Times New Roman"/>
        </w:rPr>
        <w:t>).</w:t>
      </w:r>
    </w:p>
    <w:p w14:paraId="50313E66" w14:textId="77777777" w:rsidR="007546C0" w:rsidRPr="007546C0" w:rsidRDefault="007546C0" w:rsidP="006F133D">
      <w:pPr>
        <w:pStyle w:val="Odstavecseseznamem"/>
        <w:ind w:left="567"/>
        <w:jc w:val="both"/>
        <w:rPr>
          <w:rFonts w:asciiTheme="minorHAnsi" w:eastAsia="Times New Roman" w:hAnsiTheme="minorHAnsi" w:cs="Times New Roman"/>
        </w:rPr>
      </w:pPr>
      <w:r w:rsidRPr="007546C0">
        <w:rPr>
          <w:rFonts w:asciiTheme="minorHAnsi" w:eastAsia="Times New Roman" w:hAnsiTheme="minorHAnsi" w:cs="Times New Roman"/>
        </w:rPr>
        <w:t>Příjemce uchovává originály, příp. kopie.</w:t>
      </w:r>
    </w:p>
    <w:p w14:paraId="09B85062" w14:textId="10661C58" w:rsidR="005B4CF4" w:rsidRDefault="007211E8" w:rsidP="006F133D">
      <w:pPr>
        <w:ind w:left="567"/>
        <w:jc w:val="both"/>
        <w:rPr>
          <w:rFonts w:asciiTheme="minorHAnsi" w:eastAsia="Times New Roman" w:hAnsiTheme="minorHAnsi" w:cs="Times New Roman"/>
        </w:rPr>
      </w:pPr>
      <w:r>
        <w:rPr>
          <w:rFonts w:asciiTheme="minorHAnsi" w:eastAsia="Times New Roman" w:hAnsiTheme="minorHAnsi" w:cs="Times New Roman"/>
        </w:rPr>
        <w:t xml:space="preserve">Výpis zobrazuje obraty na bankovním účtu organizace (v případě platby z tohoto účtu) za jednotlivé doklady, s označením těchto plateb, pokud částka, která je z nich nárokována jakožto výdaj Projektu, </w:t>
      </w:r>
      <w:r>
        <w:rPr>
          <w:rFonts w:asciiTheme="minorHAnsi" w:eastAsia="Times New Roman" w:hAnsiTheme="minorHAnsi" w:cs="Times New Roman"/>
          <w:u w:val="single"/>
        </w:rPr>
        <w:t>přesahuje 10.000,- Kč</w:t>
      </w:r>
      <w:r>
        <w:rPr>
          <w:rStyle w:val="Ukotvenpoznmkypodarou"/>
          <w:rFonts w:asciiTheme="minorHAnsi" w:eastAsia="Times New Roman" w:hAnsiTheme="minorHAnsi" w:cs="Times New Roman"/>
          <w:u w:val="single"/>
        </w:rPr>
        <w:footnoteReference w:id="24"/>
      </w:r>
      <w:r>
        <w:rPr>
          <w:rFonts w:asciiTheme="minorHAnsi" w:eastAsia="Times New Roman" w:hAnsiTheme="minorHAnsi" w:cs="Times New Roman"/>
        </w:rPr>
        <w:t>.</w:t>
      </w:r>
    </w:p>
    <w:p w14:paraId="444E1F99" w14:textId="77777777" w:rsidR="00942744" w:rsidRDefault="007211E8" w:rsidP="006F133D">
      <w:pPr>
        <w:ind w:left="567"/>
        <w:jc w:val="both"/>
        <w:rPr>
          <w:rFonts w:asciiTheme="minorHAnsi" w:eastAsia="Times New Roman" w:hAnsiTheme="minorHAnsi" w:cs="Times New Roman"/>
        </w:rPr>
      </w:pPr>
      <w:r>
        <w:rPr>
          <w:rFonts w:asciiTheme="minorHAnsi" w:eastAsia="Times New Roman" w:hAnsiTheme="minorHAnsi" w:cs="Times New Roman"/>
        </w:rPr>
        <w:t>Předmětem kontroly na místě mohou být bankovní výpisy a výdajové pokladní doklady pro platby (nárokované jakožto výdaj Projektu) nad i do 10.000,- Kč, s označením těchto plateb.</w:t>
      </w:r>
    </w:p>
    <w:p w14:paraId="041F01E2" w14:textId="0F59D7E5" w:rsidR="00942744" w:rsidRDefault="007211E8">
      <w:pPr>
        <w:ind w:left="567"/>
        <w:jc w:val="both"/>
        <w:rPr>
          <w:rFonts w:asciiTheme="minorHAnsi" w:eastAsia="Times New Roman" w:hAnsiTheme="minorHAnsi" w:cs="Times New Roman"/>
        </w:rPr>
      </w:pPr>
      <w:r>
        <w:rPr>
          <w:rFonts w:asciiTheme="minorHAnsi" w:eastAsia="Times New Roman" w:hAnsiTheme="minorHAnsi" w:cs="Times New Roman"/>
        </w:rPr>
        <w:t>Označení se musí týkat mj. také vyplacené čisté mzdy/platu a také odvodů na sociální a zdravotní pojištění</w:t>
      </w:r>
      <w:r w:rsidR="009523A0">
        <w:rPr>
          <w:rFonts w:asciiTheme="minorHAnsi" w:eastAsia="Times New Roman" w:hAnsiTheme="minorHAnsi" w:cs="Times New Roman"/>
        </w:rPr>
        <w:t xml:space="preserve"> a daňového odvodu</w:t>
      </w:r>
      <w:r>
        <w:rPr>
          <w:rFonts w:asciiTheme="minorHAnsi" w:eastAsia="Times New Roman" w:hAnsiTheme="minorHAnsi" w:cs="Times New Roman"/>
        </w:rPr>
        <w:t>.</w:t>
      </w:r>
    </w:p>
    <w:p w14:paraId="0E632FCB" w14:textId="77777777" w:rsidR="00486972" w:rsidRDefault="00486972">
      <w:pPr>
        <w:ind w:left="567"/>
        <w:jc w:val="both"/>
        <w:rPr>
          <w:rFonts w:asciiTheme="minorHAnsi" w:eastAsia="Times New Roman" w:hAnsiTheme="minorHAnsi" w:cs="Times New Roman"/>
        </w:rPr>
      </w:pPr>
    </w:p>
    <w:p w14:paraId="2ABD5CCE" w14:textId="739A45A2" w:rsidR="00942744" w:rsidRPr="00486972" w:rsidRDefault="007211E8" w:rsidP="00486972">
      <w:pPr>
        <w:pStyle w:val="Odstavecseseznamem"/>
        <w:numPr>
          <w:ilvl w:val="0"/>
          <w:numId w:val="33"/>
        </w:numPr>
        <w:ind w:left="567" w:hanging="567"/>
        <w:rPr>
          <w:rFonts w:asciiTheme="minorHAnsi" w:hAnsiTheme="minorHAnsi"/>
          <w:b/>
        </w:rPr>
      </w:pPr>
      <w:r w:rsidRPr="00486972">
        <w:rPr>
          <w:rFonts w:asciiTheme="minorHAnsi" w:hAnsiTheme="minorHAnsi"/>
          <w:b/>
        </w:rPr>
        <w:t>Kopie/</w:t>
      </w:r>
      <w:proofErr w:type="spellStart"/>
      <w:r w:rsidRPr="00486972">
        <w:rPr>
          <w:rFonts w:asciiTheme="minorHAnsi" w:hAnsiTheme="minorHAnsi"/>
          <w:b/>
        </w:rPr>
        <w:t>skeny</w:t>
      </w:r>
      <w:proofErr w:type="spellEnd"/>
      <w:r w:rsidRPr="00486972">
        <w:rPr>
          <w:rFonts w:asciiTheme="minorHAnsi" w:hAnsiTheme="minorHAnsi"/>
          <w:b/>
        </w:rPr>
        <w:t xml:space="preserve"> prezenčních listin realizovaných </w:t>
      </w:r>
      <w:r w:rsidR="00DF545A" w:rsidRPr="00486972">
        <w:rPr>
          <w:rFonts w:asciiTheme="minorHAnsi" w:hAnsiTheme="minorHAnsi"/>
          <w:b/>
        </w:rPr>
        <w:t>kurzů</w:t>
      </w:r>
    </w:p>
    <w:p w14:paraId="76313B2E" w14:textId="77777777" w:rsidR="00942744" w:rsidRPr="00DF545A" w:rsidRDefault="007211E8">
      <w:pPr>
        <w:ind w:left="567"/>
        <w:jc w:val="both"/>
        <w:rPr>
          <w:rFonts w:asciiTheme="minorHAnsi" w:eastAsia="Times New Roman" w:hAnsiTheme="minorHAnsi" w:cs="Times New Roman"/>
        </w:rPr>
      </w:pPr>
      <w:r w:rsidRPr="00DF545A">
        <w:rPr>
          <w:rFonts w:asciiTheme="minorHAnsi" w:eastAsia="Times New Roman" w:hAnsiTheme="minorHAnsi" w:cs="Times New Roman"/>
        </w:rPr>
        <w:t>Typ podání: v tištěné (prostá kopie) nebo elektronické podobě (</w:t>
      </w:r>
      <w:proofErr w:type="spellStart"/>
      <w:r w:rsidRPr="00DF545A">
        <w:rPr>
          <w:rFonts w:asciiTheme="minorHAnsi" w:eastAsia="Times New Roman" w:hAnsiTheme="minorHAnsi" w:cs="Times New Roman"/>
        </w:rPr>
        <w:t>pdf</w:t>
      </w:r>
      <w:proofErr w:type="spellEnd"/>
      <w:r w:rsidRPr="00DF545A">
        <w:rPr>
          <w:rFonts w:asciiTheme="minorHAnsi" w:eastAsia="Times New Roman" w:hAnsiTheme="minorHAnsi" w:cs="Times New Roman"/>
        </w:rPr>
        <w:t>).</w:t>
      </w:r>
    </w:p>
    <w:p w14:paraId="59B85B08" w14:textId="77777777" w:rsidR="00942744" w:rsidRPr="00DF545A" w:rsidRDefault="007211E8">
      <w:pPr>
        <w:ind w:left="567"/>
        <w:jc w:val="both"/>
        <w:rPr>
          <w:rFonts w:asciiTheme="minorHAnsi" w:eastAsia="Times New Roman" w:hAnsiTheme="minorHAnsi" w:cs="Times New Roman"/>
        </w:rPr>
      </w:pPr>
      <w:r w:rsidRPr="00DF545A">
        <w:rPr>
          <w:rFonts w:asciiTheme="minorHAnsi" w:eastAsia="Times New Roman" w:hAnsiTheme="minorHAnsi" w:cs="Times New Roman"/>
        </w:rPr>
        <w:t xml:space="preserve">Příjemce uchovává originály. </w:t>
      </w:r>
    </w:p>
    <w:p w14:paraId="08C05241" w14:textId="4A86EEBF" w:rsidR="00F271EB" w:rsidRPr="006F133D" w:rsidRDefault="007211E8" w:rsidP="002F4903">
      <w:pPr>
        <w:pStyle w:val="Odstavecseseznamem"/>
        <w:numPr>
          <w:ilvl w:val="0"/>
          <w:numId w:val="36"/>
        </w:numPr>
        <w:spacing w:after="200"/>
        <w:jc w:val="both"/>
        <w:rPr>
          <w:rFonts w:asciiTheme="minorHAnsi" w:eastAsia="Times New Roman" w:hAnsiTheme="minorHAnsi" w:cs="Times New Roman"/>
        </w:rPr>
      </w:pPr>
      <w:r w:rsidRPr="008E1A89">
        <w:rPr>
          <w:rFonts w:asciiTheme="minorHAnsi" w:eastAsia="Times New Roman" w:hAnsiTheme="minorHAnsi" w:cs="Times New Roman"/>
        </w:rPr>
        <w:t xml:space="preserve">Prezenční listina pro </w:t>
      </w:r>
      <w:r w:rsidRPr="00E06451">
        <w:rPr>
          <w:rFonts w:asciiTheme="minorHAnsi" w:eastAsia="Times New Roman" w:hAnsiTheme="minorHAnsi" w:cs="Times New Roman"/>
        </w:rPr>
        <w:t>KA1 – KA9 (tj. kurzy</w:t>
      </w:r>
      <w:proofErr w:type="gramStart"/>
      <w:r w:rsidRPr="00E06451">
        <w:rPr>
          <w:rFonts w:asciiTheme="minorHAnsi" w:eastAsia="Times New Roman" w:hAnsiTheme="minorHAnsi" w:cs="Times New Roman"/>
        </w:rPr>
        <w:t xml:space="preserve">) </w:t>
      </w:r>
      <w:r w:rsidRPr="008E1A89">
        <w:rPr>
          <w:rFonts w:asciiTheme="minorHAnsi" w:eastAsia="Times New Roman" w:hAnsiTheme="minorHAnsi" w:cs="Times New Roman"/>
        </w:rPr>
        <w:t>.</w:t>
      </w:r>
      <w:proofErr w:type="gramEnd"/>
      <w:r w:rsidRPr="008E1A89">
        <w:rPr>
          <w:rFonts w:asciiTheme="minorHAnsi" w:eastAsia="Times New Roman" w:hAnsiTheme="minorHAnsi" w:cs="Times New Roman"/>
        </w:rPr>
        <w:t xml:space="preserve"> Prezenční listina musí obsahovat </w:t>
      </w:r>
      <w:r w:rsidRPr="00E06451">
        <w:rPr>
          <w:rFonts w:asciiTheme="minorHAnsi" w:eastAsia="Times New Roman" w:hAnsiTheme="minorHAnsi" w:cs="Times New Roman"/>
        </w:rPr>
        <w:t>označení Projektu, označení vzdělávací aktivity,</w:t>
      </w:r>
      <w:r w:rsidR="001B136C" w:rsidRPr="006F133D">
        <w:rPr>
          <w:rFonts w:asciiTheme="minorHAnsi" w:eastAsia="Times New Roman" w:hAnsiTheme="minorHAnsi" w:cs="Times New Roman"/>
        </w:rPr>
        <w:t xml:space="preserve"> Vzdělávac</w:t>
      </w:r>
      <w:r w:rsidR="00E44DD3">
        <w:rPr>
          <w:rFonts w:asciiTheme="minorHAnsi" w:eastAsia="Times New Roman" w:hAnsiTheme="minorHAnsi" w:cs="Times New Roman"/>
        </w:rPr>
        <w:t>í</w:t>
      </w:r>
      <w:r w:rsidR="001B136C" w:rsidRPr="006F133D">
        <w:rPr>
          <w:rFonts w:asciiTheme="minorHAnsi" w:eastAsia="Times New Roman" w:hAnsiTheme="minorHAnsi" w:cs="Times New Roman"/>
        </w:rPr>
        <w:t xml:space="preserve"> pracoviště (příp. místo konání)</w:t>
      </w:r>
      <w:r w:rsidR="00E44DD3">
        <w:rPr>
          <w:rFonts w:asciiTheme="minorHAnsi" w:eastAsia="Times New Roman" w:hAnsiTheme="minorHAnsi" w:cs="Times New Roman"/>
        </w:rPr>
        <w:t>,</w:t>
      </w:r>
      <w:r w:rsidRPr="00E06451">
        <w:rPr>
          <w:rFonts w:asciiTheme="minorHAnsi" w:eastAsia="Times New Roman" w:hAnsiTheme="minorHAnsi" w:cs="Times New Roman"/>
        </w:rPr>
        <w:t xml:space="preserve"> identifikační údaje účastníka</w:t>
      </w:r>
      <w:r w:rsidR="001B136C" w:rsidRPr="006F133D">
        <w:rPr>
          <w:rFonts w:asciiTheme="minorHAnsi" w:eastAsia="Times New Roman" w:hAnsiTheme="minorHAnsi" w:cs="Times New Roman"/>
        </w:rPr>
        <w:t xml:space="preserve"> a jeho podpis</w:t>
      </w:r>
      <w:r w:rsidRPr="00E06451">
        <w:rPr>
          <w:rFonts w:asciiTheme="minorHAnsi" w:eastAsia="Times New Roman" w:hAnsiTheme="minorHAnsi" w:cs="Times New Roman"/>
        </w:rPr>
        <w:t>, termín a časovou dotaci</w:t>
      </w:r>
      <w:r w:rsidR="005235C7">
        <w:rPr>
          <w:rFonts w:asciiTheme="minorHAnsi" w:eastAsia="Times New Roman" w:hAnsiTheme="minorHAnsi" w:cs="Times New Roman"/>
        </w:rPr>
        <w:t xml:space="preserve"> (každého dne kurzu)</w:t>
      </w:r>
      <w:r w:rsidRPr="00E06451">
        <w:rPr>
          <w:rFonts w:asciiTheme="minorHAnsi" w:eastAsia="Times New Roman" w:hAnsiTheme="minorHAnsi" w:cs="Times New Roman"/>
        </w:rPr>
        <w:t xml:space="preserve">, jméno </w:t>
      </w:r>
      <w:r w:rsidR="00A7416F">
        <w:rPr>
          <w:rFonts w:asciiTheme="minorHAnsi" w:eastAsia="Times New Roman" w:hAnsiTheme="minorHAnsi" w:cs="Times New Roman"/>
        </w:rPr>
        <w:t xml:space="preserve">hlavního </w:t>
      </w:r>
      <w:r w:rsidRPr="00E06451">
        <w:rPr>
          <w:rFonts w:asciiTheme="minorHAnsi" w:eastAsia="Times New Roman" w:hAnsiTheme="minorHAnsi" w:cs="Times New Roman"/>
        </w:rPr>
        <w:t>lektora a jeho podpis,</w:t>
      </w:r>
      <w:r w:rsidRPr="008E1A89">
        <w:rPr>
          <w:rFonts w:asciiTheme="minorHAnsi" w:eastAsia="Times New Roman" w:hAnsiTheme="minorHAnsi" w:cs="Times New Roman"/>
        </w:rPr>
        <w:t xml:space="preserve"> všechny povinné prvky publicity</w:t>
      </w:r>
      <w:r w:rsidRPr="00E06451">
        <w:rPr>
          <w:rStyle w:val="Ukotvenpoznmkypodarou"/>
          <w:rFonts w:asciiTheme="minorHAnsi" w:eastAsia="Times New Roman" w:hAnsiTheme="minorHAnsi" w:cs="Times New Roman"/>
        </w:rPr>
        <w:footnoteReference w:id="25"/>
      </w:r>
      <w:r w:rsidRPr="00E06451">
        <w:rPr>
          <w:rFonts w:asciiTheme="minorHAnsi" w:eastAsia="Times New Roman" w:hAnsiTheme="minorHAnsi" w:cs="Times New Roman"/>
          <w:vertAlign w:val="superscript"/>
        </w:rPr>
        <w:t xml:space="preserve"> </w:t>
      </w:r>
      <w:r w:rsidRPr="00E06451">
        <w:rPr>
          <w:rFonts w:asciiTheme="minorHAnsi" w:eastAsia="Times New Roman" w:hAnsiTheme="minorHAnsi" w:cs="Times New Roman"/>
        </w:rPr>
        <w:t>a informace o</w:t>
      </w:r>
      <w:r w:rsidR="00526CFD">
        <w:rPr>
          <w:rFonts w:asciiTheme="minorHAnsi" w:eastAsia="Times New Roman" w:hAnsiTheme="minorHAnsi" w:cs="Times New Roman"/>
        </w:rPr>
        <w:t> </w:t>
      </w:r>
      <w:r w:rsidRPr="00E06451">
        <w:rPr>
          <w:rFonts w:asciiTheme="minorHAnsi" w:eastAsia="Times New Roman" w:hAnsiTheme="minorHAnsi" w:cs="Times New Roman"/>
        </w:rPr>
        <w:t>způsobu využití osobních údajů cílové skupiny</w:t>
      </w:r>
      <w:r w:rsidR="00A7416F">
        <w:rPr>
          <w:rFonts w:asciiTheme="minorHAnsi" w:eastAsia="Times New Roman" w:hAnsiTheme="minorHAnsi" w:cs="Times New Roman"/>
        </w:rPr>
        <w:t xml:space="preserve"> (nemusí být přímo součástí prezenční listiny)</w:t>
      </w:r>
      <w:r w:rsidRPr="00E06451">
        <w:rPr>
          <w:rFonts w:asciiTheme="minorHAnsi" w:eastAsia="Times New Roman" w:hAnsiTheme="minorHAnsi" w:cs="Times New Roman"/>
        </w:rPr>
        <w:t xml:space="preserve">. V případě několikadenních </w:t>
      </w:r>
      <w:r w:rsidR="008E1A89" w:rsidRPr="006F133D">
        <w:rPr>
          <w:rFonts w:asciiTheme="minorHAnsi" w:eastAsia="Times New Roman" w:hAnsiTheme="minorHAnsi" w:cs="Times New Roman"/>
        </w:rPr>
        <w:t>kurzů</w:t>
      </w:r>
      <w:r w:rsidRPr="00E06451">
        <w:rPr>
          <w:rFonts w:asciiTheme="minorHAnsi" w:eastAsia="Times New Roman" w:hAnsiTheme="minorHAnsi" w:cs="Times New Roman"/>
        </w:rPr>
        <w:t xml:space="preserve"> je třeba podpisem potvrdit každý den, kdy se účastník </w:t>
      </w:r>
      <w:r w:rsidR="001B136C" w:rsidRPr="006F133D">
        <w:rPr>
          <w:rFonts w:asciiTheme="minorHAnsi" w:eastAsia="Times New Roman" w:hAnsiTheme="minorHAnsi" w:cs="Times New Roman"/>
        </w:rPr>
        <w:t>kurzu</w:t>
      </w:r>
      <w:r w:rsidRPr="00E06451">
        <w:rPr>
          <w:rFonts w:asciiTheme="minorHAnsi" w:eastAsia="Times New Roman" w:hAnsiTheme="minorHAnsi" w:cs="Times New Roman"/>
        </w:rPr>
        <w:t xml:space="preserve"> zúčastnil. Vzor prezenční listiny, </w:t>
      </w:r>
      <w:bookmarkStart w:id="36" w:name="_Hlk34060620"/>
      <w:r w:rsidRPr="00E06451">
        <w:rPr>
          <w:rFonts w:asciiTheme="minorHAnsi" w:eastAsia="Times New Roman" w:hAnsiTheme="minorHAnsi" w:cs="Times New Roman"/>
        </w:rPr>
        <w:t>která obsahuje všechny výše uvedené náležitosti</w:t>
      </w:r>
      <w:r w:rsidR="00E44DD3">
        <w:rPr>
          <w:rFonts w:asciiTheme="minorHAnsi" w:eastAsia="Times New Roman" w:hAnsiTheme="minorHAnsi" w:cs="Times New Roman"/>
        </w:rPr>
        <w:t>,</w:t>
      </w:r>
      <w:r w:rsidRPr="00E06451">
        <w:rPr>
          <w:rFonts w:asciiTheme="minorHAnsi" w:eastAsia="Times New Roman" w:hAnsiTheme="minorHAnsi" w:cs="Times New Roman"/>
        </w:rPr>
        <w:t xml:space="preserve"> je uveden </w:t>
      </w:r>
      <w:bookmarkEnd w:id="36"/>
      <w:r w:rsidRPr="00E06451">
        <w:rPr>
          <w:rFonts w:asciiTheme="minorHAnsi" w:eastAsia="Times New Roman" w:hAnsiTheme="minorHAnsi" w:cs="Times New Roman"/>
        </w:rPr>
        <w:t xml:space="preserve">v příloze č. </w:t>
      </w:r>
      <w:proofErr w:type="gramStart"/>
      <w:r w:rsidRPr="00E06451">
        <w:rPr>
          <w:rFonts w:asciiTheme="minorHAnsi" w:eastAsia="Times New Roman" w:hAnsiTheme="minorHAnsi" w:cs="Times New Roman"/>
        </w:rPr>
        <w:t>4</w:t>
      </w:r>
      <w:r w:rsidR="001B136C" w:rsidRPr="006F133D">
        <w:rPr>
          <w:rFonts w:asciiTheme="minorHAnsi" w:eastAsia="Times New Roman" w:hAnsiTheme="minorHAnsi" w:cs="Times New Roman"/>
        </w:rPr>
        <w:t>a</w:t>
      </w:r>
      <w:proofErr w:type="gramEnd"/>
      <w:r w:rsidR="00E44DD3">
        <w:rPr>
          <w:rFonts w:asciiTheme="minorHAnsi" w:eastAsia="Times New Roman" w:hAnsiTheme="minorHAnsi" w:cs="Times New Roman"/>
        </w:rPr>
        <w:t>,</w:t>
      </w:r>
      <w:r w:rsidR="001B136C" w:rsidRPr="006F133D">
        <w:rPr>
          <w:rFonts w:asciiTheme="minorHAnsi" w:eastAsia="Times New Roman" w:hAnsiTheme="minorHAnsi" w:cs="Times New Roman"/>
        </w:rPr>
        <w:t xml:space="preserve"> 4b nebo 4d</w:t>
      </w:r>
      <w:r w:rsidRPr="00E06451">
        <w:rPr>
          <w:rFonts w:asciiTheme="minorHAnsi" w:eastAsia="Times New Roman" w:hAnsiTheme="minorHAnsi" w:cs="Times New Roman"/>
        </w:rPr>
        <w:t xml:space="preserve"> tohoto Metodického pokynu.</w:t>
      </w:r>
      <w:r w:rsidRPr="00E06451">
        <w:rPr>
          <w:rStyle w:val="Ukotvenpoznmkypodarou"/>
          <w:rFonts w:asciiTheme="minorHAnsi" w:eastAsia="Times New Roman" w:hAnsiTheme="minorHAnsi" w:cs="Times New Roman"/>
        </w:rPr>
        <w:footnoteReference w:id="26"/>
      </w:r>
      <w:r w:rsidR="00F271EB" w:rsidRPr="00E06451">
        <w:rPr>
          <w:rFonts w:asciiTheme="minorHAnsi" w:eastAsia="Times New Roman" w:hAnsiTheme="minorHAnsi" w:cs="Times New Roman"/>
        </w:rPr>
        <w:t xml:space="preserve"> Příjemce</w:t>
      </w:r>
      <w:r w:rsidR="00F271EB" w:rsidRPr="006F133D">
        <w:rPr>
          <w:rFonts w:asciiTheme="minorHAnsi" w:eastAsia="Times New Roman" w:hAnsiTheme="minorHAnsi" w:cs="Times New Roman"/>
        </w:rPr>
        <w:t xml:space="preserve"> však může využít i jiný dokument, ze kterého budou plynout výše uvedené </w:t>
      </w:r>
      <w:r w:rsidR="001B136C" w:rsidRPr="006F133D">
        <w:rPr>
          <w:rFonts w:asciiTheme="minorHAnsi" w:eastAsia="Times New Roman" w:hAnsiTheme="minorHAnsi" w:cs="Times New Roman"/>
        </w:rPr>
        <w:t>náležitosti</w:t>
      </w:r>
      <w:r w:rsidR="00F271EB" w:rsidRPr="006F133D">
        <w:rPr>
          <w:rFonts w:asciiTheme="minorHAnsi" w:eastAsia="Times New Roman" w:hAnsiTheme="minorHAnsi" w:cs="Times New Roman"/>
        </w:rPr>
        <w:t>.</w:t>
      </w:r>
    </w:p>
    <w:p w14:paraId="28E4DF5C" w14:textId="1388F41E" w:rsidR="00942744" w:rsidRPr="005235C7" w:rsidRDefault="007211E8">
      <w:pPr>
        <w:pStyle w:val="Odstavecseseznamem"/>
        <w:numPr>
          <w:ilvl w:val="0"/>
          <w:numId w:val="36"/>
        </w:numPr>
        <w:spacing w:after="200"/>
        <w:jc w:val="both"/>
        <w:rPr>
          <w:rFonts w:asciiTheme="minorHAnsi" w:eastAsia="Times New Roman" w:hAnsiTheme="minorHAnsi" w:cs="Times New Roman"/>
        </w:rPr>
      </w:pPr>
      <w:r w:rsidRPr="00E06451">
        <w:rPr>
          <w:rFonts w:asciiTheme="minorHAnsi" w:eastAsia="Times New Roman" w:hAnsiTheme="minorHAnsi" w:cs="Times New Roman"/>
        </w:rPr>
        <w:lastRenderedPageBreak/>
        <w:t>Časová dotace/délka účasti</w:t>
      </w:r>
      <w:r w:rsidRPr="006F133D">
        <w:rPr>
          <w:rStyle w:val="Ukotvenpoznmkypodarou"/>
          <w:rFonts w:eastAsia="Times New Roman" w:cs="Times New Roman"/>
        </w:rPr>
        <w:footnoteReference w:id="27"/>
      </w:r>
      <w:r w:rsidRPr="006F133D">
        <w:rPr>
          <w:rFonts w:asciiTheme="minorHAnsi" w:eastAsia="Times New Roman" w:hAnsiTheme="minorHAnsi" w:cs="Times New Roman"/>
          <w:vertAlign w:val="superscript"/>
        </w:rPr>
        <w:t xml:space="preserve"> </w:t>
      </w:r>
      <w:r w:rsidRPr="00E06451">
        <w:rPr>
          <w:rFonts w:asciiTheme="minorHAnsi" w:eastAsia="Times New Roman" w:hAnsiTheme="minorHAnsi" w:cs="Times New Roman"/>
        </w:rPr>
        <w:t>– počet hodin a počet dnů vzdělávacích aktivit uvedených na prezenční listině (případně na čestném prohlášení – viz dále) musí odpovídat způsobilé době vzděláv</w:t>
      </w:r>
      <w:r w:rsidRPr="008E1A89">
        <w:rPr>
          <w:rFonts w:asciiTheme="minorHAnsi" w:eastAsia="Times New Roman" w:hAnsiTheme="minorHAnsi" w:cs="Times New Roman"/>
        </w:rPr>
        <w:t xml:space="preserve">ání a při realizaci jako celku i požadavkům vzdělávacího </w:t>
      </w:r>
      <w:r w:rsidRPr="005235C7">
        <w:rPr>
          <w:rFonts w:asciiTheme="minorHAnsi" w:eastAsia="Times New Roman" w:hAnsiTheme="minorHAnsi" w:cs="Times New Roman"/>
        </w:rPr>
        <w:t>programu dle příslušného Věstníku MZ.</w:t>
      </w:r>
    </w:p>
    <w:p w14:paraId="6F599879" w14:textId="4F7264B5" w:rsidR="00942744" w:rsidRPr="00447CB5" w:rsidRDefault="007211E8" w:rsidP="006F133D">
      <w:pPr>
        <w:pStyle w:val="Odstavecseseznamem"/>
        <w:numPr>
          <w:ilvl w:val="0"/>
          <w:numId w:val="36"/>
        </w:numPr>
        <w:spacing w:after="200"/>
        <w:jc w:val="both"/>
      </w:pPr>
      <w:r w:rsidRPr="005235C7">
        <w:rPr>
          <w:rFonts w:asciiTheme="minorHAnsi" w:eastAsia="Times New Roman" w:hAnsiTheme="minorHAnsi" w:cs="Times New Roman"/>
        </w:rPr>
        <w:t xml:space="preserve">Při neexistenci prezenční listiny je možné dokument o realizaci vzdělávací aktivity nahradit čestným prohlášením statutárního zástupce. </w:t>
      </w:r>
    </w:p>
    <w:p w14:paraId="68E25F64" w14:textId="77777777" w:rsidR="00447CB5" w:rsidRPr="005235C7" w:rsidRDefault="00447CB5" w:rsidP="00447CB5">
      <w:pPr>
        <w:pStyle w:val="Odstavecseseznamem"/>
        <w:spacing w:after="200"/>
        <w:jc w:val="both"/>
      </w:pPr>
    </w:p>
    <w:p w14:paraId="41D3E7C8" w14:textId="50E46D75" w:rsidR="00942744" w:rsidRPr="00486972" w:rsidRDefault="007211E8" w:rsidP="00447CB5">
      <w:pPr>
        <w:pStyle w:val="Odstavecseseznamem"/>
        <w:numPr>
          <w:ilvl w:val="0"/>
          <w:numId w:val="33"/>
        </w:numPr>
        <w:ind w:left="567" w:hanging="567"/>
        <w:rPr>
          <w:rFonts w:asciiTheme="minorHAnsi" w:hAnsiTheme="minorHAnsi"/>
          <w:b/>
        </w:rPr>
      </w:pPr>
      <w:r w:rsidRPr="00486972">
        <w:rPr>
          <w:rFonts w:asciiTheme="minorHAnsi" w:hAnsiTheme="minorHAnsi"/>
          <w:b/>
        </w:rPr>
        <w:t>Tabulka, resp. tabulky „Interní kalkulace</w:t>
      </w:r>
      <w:r w:rsidR="00F14894" w:rsidRPr="00486972">
        <w:rPr>
          <w:rFonts w:asciiTheme="minorHAnsi" w:hAnsiTheme="minorHAnsi"/>
          <w:b/>
        </w:rPr>
        <w:t xml:space="preserve"> </w:t>
      </w:r>
      <w:r w:rsidRPr="00486972">
        <w:rPr>
          <w:rFonts w:asciiTheme="minorHAnsi" w:hAnsiTheme="minorHAnsi"/>
          <w:b/>
        </w:rPr>
        <w:t>/</w:t>
      </w:r>
      <w:r w:rsidR="00F14894" w:rsidRPr="00486972">
        <w:rPr>
          <w:rFonts w:asciiTheme="minorHAnsi" w:hAnsiTheme="minorHAnsi"/>
          <w:b/>
        </w:rPr>
        <w:t xml:space="preserve"> </w:t>
      </w:r>
      <w:r w:rsidRPr="00486972">
        <w:rPr>
          <w:rFonts w:asciiTheme="minorHAnsi" w:hAnsiTheme="minorHAnsi"/>
          <w:b/>
        </w:rPr>
        <w:t xml:space="preserve">Soupis nákladů </w:t>
      </w:r>
      <w:r w:rsidR="00F14894" w:rsidRPr="00486972">
        <w:rPr>
          <w:rFonts w:asciiTheme="minorHAnsi" w:hAnsiTheme="minorHAnsi"/>
          <w:b/>
        </w:rPr>
        <w:t>/ Interní fakturace</w:t>
      </w:r>
      <w:r w:rsidR="00F14894" w:rsidRPr="00447CB5">
        <w:rPr>
          <w:rFonts w:asciiTheme="minorHAnsi" w:hAnsiTheme="minorHAnsi"/>
          <w:b/>
        </w:rPr>
        <w:t xml:space="preserve"> </w:t>
      </w:r>
      <w:r w:rsidRPr="00486972">
        <w:rPr>
          <w:rFonts w:asciiTheme="minorHAnsi" w:hAnsiTheme="minorHAnsi"/>
          <w:b/>
        </w:rPr>
        <w:t xml:space="preserve">vzdělávací aktivity“ </w:t>
      </w:r>
    </w:p>
    <w:p w14:paraId="796FCA9B" w14:textId="77777777" w:rsidR="00942744" w:rsidRDefault="007211E8" w:rsidP="006F133D">
      <w:pPr>
        <w:pStyle w:val="Odstavecseseznamem"/>
        <w:keepNext/>
        <w:keepLines/>
        <w:ind w:left="567"/>
        <w:jc w:val="both"/>
        <w:rPr>
          <w:rFonts w:asciiTheme="minorHAnsi" w:eastAsia="Times New Roman" w:hAnsiTheme="minorHAnsi" w:cs="Times New Roman"/>
        </w:rPr>
      </w:pPr>
      <w:r>
        <w:rPr>
          <w:rFonts w:asciiTheme="minorHAnsi" w:eastAsia="Times New Roman" w:hAnsiTheme="minorHAnsi" w:cs="Times New Roman"/>
        </w:rPr>
        <w:t xml:space="preserve">Typ podání: v tištěné (originál) i elektronické podobě (editovatelný formát: nejlépe </w:t>
      </w:r>
      <w:proofErr w:type="spellStart"/>
      <w:r>
        <w:rPr>
          <w:rFonts w:asciiTheme="minorHAnsi" w:eastAsia="Times New Roman" w:hAnsiTheme="minorHAnsi" w:cs="Times New Roman"/>
        </w:rPr>
        <w:t>xls</w:t>
      </w:r>
      <w:proofErr w:type="spellEnd"/>
      <w:r>
        <w:rPr>
          <w:rFonts w:asciiTheme="minorHAnsi" w:eastAsia="Times New Roman" w:hAnsiTheme="minorHAnsi" w:cs="Times New Roman"/>
        </w:rPr>
        <w:t xml:space="preserve"> či </w:t>
      </w:r>
      <w:proofErr w:type="spellStart"/>
      <w:r>
        <w:rPr>
          <w:rFonts w:asciiTheme="minorHAnsi" w:eastAsia="Times New Roman" w:hAnsiTheme="minorHAnsi" w:cs="Times New Roman"/>
        </w:rPr>
        <w:t>xlsx</w:t>
      </w:r>
      <w:proofErr w:type="spellEnd"/>
      <w:r>
        <w:rPr>
          <w:rFonts w:asciiTheme="minorHAnsi" w:eastAsia="Times New Roman" w:hAnsiTheme="minorHAnsi" w:cs="Times New Roman"/>
        </w:rPr>
        <w:t>).</w:t>
      </w:r>
    </w:p>
    <w:p w14:paraId="50BC8C2D" w14:textId="77777777" w:rsidR="00942744" w:rsidRDefault="007211E8" w:rsidP="006F133D">
      <w:pPr>
        <w:pStyle w:val="Odstavecseseznamem"/>
        <w:ind w:left="567"/>
        <w:jc w:val="both"/>
        <w:rPr>
          <w:rFonts w:asciiTheme="minorHAnsi" w:eastAsia="Times New Roman" w:hAnsiTheme="minorHAnsi" w:cs="Times New Roman"/>
        </w:rPr>
      </w:pPr>
      <w:r>
        <w:rPr>
          <w:rFonts w:asciiTheme="minorHAnsi" w:eastAsia="Times New Roman" w:hAnsiTheme="minorHAnsi" w:cs="Times New Roman"/>
        </w:rPr>
        <w:t>Příjemce uchovává kopii.</w:t>
      </w:r>
    </w:p>
    <w:p w14:paraId="6C5A7B87" w14:textId="08FB4C9C" w:rsidR="00942744" w:rsidRDefault="007211E8">
      <w:pPr>
        <w:spacing w:after="200"/>
        <w:ind w:left="567"/>
        <w:jc w:val="both"/>
        <w:rPr>
          <w:rFonts w:asciiTheme="minorHAnsi" w:eastAsia="Times New Roman" w:hAnsiTheme="minorHAnsi" w:cs="Times New Roman"/>
        </w:rPr>
      </w:pPr>
      <w:r>
        <w:rPr>
          <w:rFonts w:asciiTheme="minorHAnsi" w:eastAsia="Times New Roman" w:hAnsiTheme="minorHAnsi" w:cs="Times New Roman"/>
        </w:rPr>
        <w:t xml:space="preserve">Kalkulace </w:t>
      </w:r>
      <w:r w:rsidR="002223D7">
        <w:rPr>
          <w:rFonts w:asciiTheme="minorHAnsi" w:eastAsia="Times New Roman" w:hAnsiTheme="minorHAnsi" w:cs="Times New Roman"/>
        </w:rPr>
        <w:t xml:space="preserve">/ </w:t>
      </w:r>
      <w:r w:rsidR="00F14894">
        <w:rPr>
          <w:rFonts w:asciiTheme="minorHAnsi" w:eastAsia="Times New Roman" w:hAnsiTheme="minorHAnsi" w:cs="Times New Roman"/>
        </w:rPr>
        <w:t>I</w:t>
      </w:r>
      <w:r w:rsidR="002223D7">
        <w:rPr>
          <w:rFonts w:asciiTheme="minorHAnsi" w:eastAsia="Times New Roman" w:hAnsiTheme="minorHAnsi" w:cs="Times New Roman"/>
        </w:rPr>
        <w:t xml:space="preserve">nterní fakturace </w:t>
      </w:r>
      <w:r>
        <w:rPr>
          <w:rFonts w:asciiTheme="minorHAnsi" w:eastAsia="Times New Roman" w:hAnsiTheme="minorHAnsi" w:cs="Times New Roman"/>
        </w:rPr>
        <w:t>/ Soupis nárokovaných vynaložených způsobilých nákladů pro každou vzdělávací aktivitu zvlášť, u praxí maximálně v rozsahu 1 kalendářního měsíce, s podpisem</w:t>
      </w:r>
      <w:r w:rsidR="00F536B0">
        <w:rPr>
          <w:rFonts w:asciiTheme="minorHAnsi" w:eastAsia="Times New Roman" w:hAnsiTheme="minorHAnsi" w:cs="Times New Roman"/>
        </w:rPr>
        <w:t xml:space="preserve"> odpovědné osoby</w:t>
      </w:r>
      <w:r>
        <w:rPr>
          <w:rFonts w:asciiTheme="minorHAnsi" w:eastAsia="Times New Roman" w:hAnsiTheme="minorHAnsi" w:cs="Times New Roman"/>
        </w:rPr>
        <w:t>.</w:t>
      </w:r>
    </w:p>
    <w:p w14:paraId="6641DA6F" w14:textId="77777777" w:rsidR="00942744" w:rsidRDefault="007211E8">
      <w:pPr>
        <w:pStyle w:val="Odstavecseseznamem"/>
        <w:numPr>
          <w:ilvl w:val="0"/>
          <w:numId w:val="26"/>
        </w:numPr>
        <w:spacing w:after="200"/>
        <w:ind w:left="1134" w:hanging="567"/>
        <w:jc w:val="both"/>
        <w:rPr>
          <w:rFonts w:asciiTheme="minorHAnsi" w:eastAsia="Times New Roman" w:hAnsiTheme="minorHAnsi" w:cs="Times New Roman"/>
        </w:rPr>
      </w:pPr>
      <w:r>
        <w:rPr>
          <w:rFonts w:asciiTheme="minorHAnsi" w:eastAsia="Times New Roman" w:hAnsiTheme="minorHAnsi" w:cs="Times New Roman"/>
        </w:rPr>
        <w:t xml:space="preserve">Podklad musí obsahovat </w:t>
      </w:r>
      <w:r>
        <w:rPr>
          <w:rFonts w:asciiTheme="minorHAnsi" w:eastAsia="Times New Roman" w:hAnsiTheme="minorHAnsi" w:cs="Times New Roman"/>
          <w:u w:val="single"/>
        </w:rPr>
        <w:t>výpočet ceny na jednoho účastníka</w:t>
      </w:r>
      <w:r>
        <w:rPr>
          <w:rFonts w:asciiTheme="minorHAnsi" w:eastAsia="Times New Roman" w:hAnsiTheme="minorHAnsi" w:cs="Times New Roman"/>
        </w:rPr>
        <w:t xml:space="preserve"> (u kurzu), resp. ceny na jednoho účastníka </w:t>
      </w:r>
      <w:r>
        <w:rPr>
          <w:rFonts w:asciiTheme="minorHAnsi" w:eastAsia="Times New Roman" w:hAnsiTheme="minorHAnsi" w:cs="Times New Roman"/>
          <w:u w:val="single"/>
        </w:rPr>
        <w:t>za den</w:t>
      </w:r>
      <w:r>
        <w:rPr>
          <w:rFonts w:asciiTheme="minorHAnsi" w:eastAsia="Times New Roman" w:hAnsiTheme="minorHAnsi" w:cs="Times New Roman"/>
        </w:rPr>
        <w:t xml:space="preserve"> (u praxe); u kurzů je třeba dále v soupisu doložit náklady na případné občerstvení.</w:t>
      </w:r>
    </w:p>
    <w:p w14:paraId="0765BFDA" w14:textId="77777777" w:rsidR="00942744" w:rsidRDefault="007211E8">
      <w:pPr>
        <w:pStyle w:val="Odstavecseseznamem"/>
        <w:numPr>
          <w:ilvl w:val="0"/>
          <w:numId w:val="26"/>
        </w:numPr>
        <w:spacing w:after="200"/>
        <w:ind w:left="1134" w:hanging="567"/>
        <w:jc w:val="both"/>
        <w:rPr>
          <w:rFonts w:asciiTheme="minorHAnsi" w:eastAsia="Times New Roman" w:hAnsiTheme="minorHAnsi" w:cs="Times New Roman"/>
        </w:rPr>
      </w:pPr>
      <w:r>
        <w:rPr>
          <w:rFonts w:asciiTheme="minorHAnsi" w:eastAsia="Times New Roman" w:hAnsiTheme="minorHAnsi" w:cs="Times New Roman"/>
        </w:rPr>
        <w:t>V případě opakování téže vzdělávací aktivity v jednom monitorovacím období je možné, pokud nedošlo k poklesu celkové výše všech vynaložených způsobilých nákladů na danou aktivitu, tabulku nahradit čestným prohlášením statutárního zástupce, případně jeho zmocněnce.</w:t>
      </w:r>
    </w:p>
    <w:p w14:paraId="657DB468" w14:textId="77777777" w:rsidR="00942744" w:rsidRDefault="007211E8">
      <w:pPr>
        <w:pStyle w:val="Odstavecseseznamem"/>
        <w:numPr>
          <w:ilvl w:val="0"/>
          <w:numId w:val="26"/>
        </w:numPr>
        <w:spacing w:after="200"/>
        <w:ind w:left="1134" w:hanging="567"/>
        <w:jc w:val="both"/>
        <w:rPr>
          <w:rFonts w:asciiTheme="minorHAnsi" w:eastAsia="Times New Roman" w:hAnsiTheme="minorHAnsi" w:cs="Times New Roman"/>
        </w:rPr>
      </w:pPr>
      <w:r>
        <w:rPr>
          <w:rFonts w:asciiTheme="minorHAnsi" w:eastAsia="Times New Roman" w:hAnsiTheme="minorHAnsi" w:cs="Times New Roman"/>
        </w:rPr>
        <w:t xml:space="preserve">Originály dokladů, na jejichž základě byl proveden soupis/kalkulace nebo vystaveno čestné prohlášení mohou být předmětem kontroly na místě. </w:t>
      </w:r>
    </w:p>
    <w:p w14:paraId="227EEC0D" w14:textId="77777777" w:rsidR="00942744" w:rsidRDefault="00942744">
      <w:pPr>
        <w:pStyle w:val="Odstavecseseznamem"/>
        <w:spacing w:after="200"/>
        <w:ind w:left="1134"/>
        <w:jc w:val="both"/>
        <w:rPr>
          <w:rFonts w:asciiTheme="minorHAnsi" w:eastAsia="Times New Roman" w:hAnsiTheme="minorHAnsi" w:cs="Times New Roman"/>
        </w:rPr>
      </w:pPr>
    </w:p>
    <w:p w14:paraId="7A326245" w14:textId="77777777" w:rsidR="00942744" w:rsidRDefault="007211E8" w:rsidP="00486972">
      <w:pPr>
        <w:pStyle w:val="Odstavecseseznamem"/>
        <w:numPr>
          <w:ilvl w:val="0"/>
          <w:numId w:val="33"/>
        </w:numPr>
        <w:ind w:left="567" w:hanging="567"/>
        <w:rPr>
          <w:rFonts w:asciiTheme="minorHAnsi" w:hAnsiTheme="minorHAnsi"/>
          <w:b/>
        </w:rPr>
      </w:pPr>
      <w:bookmarkStart w:id="37" w:name="_1ci93xb"/>
      <w:bookmarkEnd w:id="37"/>
      <w:r>
        <w:rPr>
          <w:rFonts w:asciiTheme="minorHAnsi" w:hAnsiTheme="minorHAnsi"/>
          <w:b/>
        </w:rPr>
        <w:t xml:space="preserve">Podklady k publicitě </w:t>
      </w:r>
    </w:p>
    <w:p w14:paraId="79F0F011" w14:textId="77777777" w:rsidR="00942744" w:rsidRDefault="007211E8">
      <w:pPr>
        <w:ind w:left="567"/>
        <w:jc w:val="both"/>
        <w:rPr>
          <w:rFonts w:asciiTheme="minorHAnsi" w:eastAsia="Times New Roman" w:hAnsiTheme="minorHAnsi" w:cs="Times New Roman"/>
        </w:rPr>
      </w:pPr>
      <w:r>
        <w:rPr>
          <w:rFonts w:asciiTheme="minorHAnsi" w:eastAsia="Times New Roman" w:hAnsiTheme="minorHAnsi" w:cs="Times New Roman"/>
        </w:rPr>
        <w:t>Typ podání: Příjemce průběžně nedokládá.</w:t>
      </w:r>
    </w:p>
    <w:p w14:paraId="2B36B7E2" w14:textId="77777777" w:rsidR="00942744" w:rsidRDefault="007211E8">
      <w:pPr>
        <w:ind w:left="567"/>
        <w:jc w:val="both"/>
        <w:rPr>
          <w:rFonts w:asciiTheme="minorHAnsi" w:hAnsiTheme="minorHAnsi"/>
          <w:b/>
        </w:rPr>
      </w:pPr>
      <w:r>
        <w:rPr>
          <w:rFonts w:asciiTheme="minorHAnsi" w:eastAsia="Times New Roman" w:hAnsiTheme="minorHAnsi" w:cs="Times New Roman"/>
        </w:rPr>
        <w:t>Příjemce uchovává v tištěné nebo elektronické podobě.</w:t>
      </w:r>
    </w:p>
    <w:p w14:paraId="6D392EBE" w14:textId="77777777" w:rsidR="00942744" w:rsidRDefault="007211E8">
      <w:pPr>
        <w:pStyle w:val="Odstavecseseznamem"/>
        <w:numPr>
          <w:ilvl w:val="0"/>
          <w:numId w:val="34"/>
        </w:numPr>
        <w:ind w:left="1134" w:hanging="567"/>
        <w:rPr>
          <w:rFonts w:asciiTheme="minorHAnsi" w:hAnsiTheme="minorHAnsi"/>
        </w:rPr>
      </w:pPr>
      <w:bookmarkStart w:id="38" w:name="_obnabodx2bh2"/>
      <w:bookmarkEnd w:id="38"/>
      <w:r>
        <w:rPr>
          <w:rFonts w:asciiTheme="minorHAnsi" w:hAnsiTheme="minorHAnsi"/>
        </w:rPr>
        <w:t>Podklady k publicitě mohou být předmětem kontroly na místě. Jedná se především o:</w:t>
      </w:r>
    </w:p>
    <w:p w14:paraId="45C32077" w14:textId="5A5FA076" w:rsidR="00942744" w:rsidRDefault="007211E8">
      <w:pPr>
        <w:numPr>
          <w:ilvl w:val="0"/>
          <w:numId w:val="35"/>
        </w:numPr>
        <w:ind w:left="1848" w:hanging="357"/>
        <w:jc w:val="both"/>
        <w:rPr>
          <w:rFonts w:asciiTheme="minorHAnsi" w:eastAsia="Times New Roman" w:hAnsiTheme="minorHAnsi" w:cs="Times New Roman"/>
        </w:rPr>
      </w:pPr>
      <w:proofErr w:type="spellStart"/>
      <w:r>
        <w:rPr>
          <w:rFonts w:asciiTheme="minorHAnsi" w:eastAsia="Times New Roman" w:hAnsiTheme="minorHAnsi" w:cs="Times New Roman"/>
        </w:rPr>
        <w:t>printscreen</w:t>
      </w:r>
      <w:proofErr w:type="spellEnd"/>
      <w:r>
        <w:rPr>
          <w:rFonts w:asciiTheme="minorHAnsi" w:eastAsia="Times New Roman" w:hAnsiTheme="minorHAnsi" w:cs="Times New Roman"/>
        </w:rPr>
        <w:t xml:space="preserve"> internetové stránky</w:t>
      </w:r>
      <w:r>
        <w:rPr>
          <w:rStyle w:val="Ukotvenpoznmkypodarou"/>
          <w:rFonts w:asciiTheme="minorHAnsi" w:eastAsia="Times New Roman" w:hAnsiTheme="minorHAnsi" w:cs="Times New Roman"/>
        </w:rPr>
        <w:footnoteReference w:id="28"/>
      </w:r>
      <w:r>
        <w:rPr>
          <w:rFonts w:asciiTheme="minorHAnsi" w:eastAsia="Times New Roman" w:hAnsiTheme="minorHAnsi" w:cs="Times New Roman"/>
        </w:rPr>
        <w:t>;</w:t>
      </w:r>
    </w:p>
    <w:p w14:paraId="69C14F5E" w14:textId="77777777" w:rsidR="00942744" w:rsidRDefault="007211E8">
      <w:pPr>
        <w:numPr>
          <w:ilvl w:val="0"/>
          <w:numId w:val="35"/>
        </w:numPr>
        <w:ind w:left="1848" w:hanging="357"/>
        <w:jc w:val="both"/>
        <w:rPr>
          <w:rFonts w:asciiTheme="minorHAnsi" w:eastAsia="Times New Roman" w:hAnsiTheme="minorHAnsi" w:cs="Times New Roman"/>
        </w:rPr>
      </w:pPr>
      <w:r>
        <w:rPr>
          <w:rFonts w:asciiTheme="minorHAnsi" w:eastAsia="Times New Roman" w:hAnsiTheme="minorHAnsi" w:cs="Times New Roman"/>
        </w:rPr>
        <w:t>fotodokumentaci umístění povinného plakátu</w:t>
      </w:r>
      <w:r>
        <w:rPr>
          <w:rStyle w:val="Ukotvenpoznmkypodarou"/>
          <w:rFonts w:asciiTheme="minorHAnsi" w:eastAsia="Times New Roman" w:hAnsiTheme="minorHAnsi" w:cs="Times New Roman"/>
        </w:rPr>
        <w:footnoteReference w:id="29"/>
      </w:r>
      <w:r>
        <w:rPr>
          <w:rFonts w:asciiTheme="minorHAnsi" w:eastAsia="Times New Roman" w:hAnsiTheme="minorHAnsi" w:cs="Times New Roman"/>
        </w:rPr>
        <w:t xml:space="preserve">; </w:t>
      </w:r>
    </w:p>
    <w:p w14:paraId="380EB6B2" w14:textId="77777777" w:rsidR="00942744" w:rsidRDefault="007211E8">
      <w:pPr>
        <w:numPr>
          <w:ilvl w:val="0"/>
          <w:numId w:val="35"/>
        </w:numPr>
        <w:ind w:left="1848" w:hanging="357"/>
        <w:jc w:val="both"/>
        <w:rPr>
          <w:rFonts w:asciiTheme="minorHAnsi" w:eastAsia="Times New Roman" w:hAnsiTheme="minorHAnsi" w:cs="Times New Roman"/>
        </w:rPr>
      </w:pPr>
      <w:r>
        <w:rPr>
          <w:rFonts w:asciiTheme="minorHAnsi" w:eastAsia="Times New Roman" w:hAnsiTheme="minorHAnsi" w:cs="Times New Roman"/>
        </w:rPr>
        <w:t>doložení označených dokumentů</w:t>
      </w:r>
      <w:r>
        <w:rPr>
          <w:rStyle w:val="Ukotvenpoznmkypodarou"/>
          <w:rFonts w:asciiTheme="minorHAnsi" w:eastAsia="Times New Roman" w:hAnsiTheme="minorHAnsi" w:cs="Times New Roman"/>
        </w:rPr>
        <w:footnoteReference w:id="30"/>
      </w:r>
      <w:r>
        <w:rPr>
          <w:rFonts w:asciiTheme="minorHAnsi" w:eastAsia="Times New Roman" w:hAnsiTheme="minorHAnsi" w:cs="Times New Roman"/>
        </w:rPr>
        <w:t xml:space="preserve">; </w:t>
      </w:r>
    </w:p>
    <w:p w14:paraId="27839392" w14:textId="77777777" w:rsidR="00942744" w:rsidRDefault="007211E8">
      <w:pPr>
        <w:numPr>
          <w:ilvl w:val="0"/>
          <w:numId w:val="35"/>
        </w:numPr>
        <w:ind w:left="1848" w:hanging="357"/>
        <w:jc w:val="both"/>
        <w:rPr>
          <w:rFonts w:asciiTheme="minorHAnsi" w:eastAsia="Times New Roman" w:hAnsiTheme="minorHAnsi" w:cs="Times New Roman"/>
        </w:rPr>
      </w:pPr>
      <w:r>
        <w:rPr>
          <w:rFonts w:asciiTheme="minorHAnsi" w:eastAsia="Times New Roman" w:hAnsiTheme="minorHAnsi" w:cs="Times New Roman"/>
        </w:rPr>
        <w:t>fotodokumentaci kurzů (KA 1 až KA 9), přičemž z fotografií musí být zřejmé označení školicí místnosti/školicích prostor</w:t>
      </w:r>
      <w:r>
        <w:rPr>
          <w:rStyle w:val="Ukotvenpoznmkypodarou"/>
          <w:rFonts w:asciiTheme="minorHAnsi" w:eastAsia="Times New Roman" w:hAnsiTheme="minorHAnsi" w:cs="Times New Roman"/>
        </w:rPr>
        <w:footnoteReference w:id="31"/>
      </w:r>
      <w:r>
        <w:rPr>
          <w:rFonts w:asciiTheme="minorHAnsi" w:eastAsia="Times New Roman" w:hAnsiTheme="minorHAnsi" w:cs="Times New Roman"/>
        </w:rPr>
        <w:t xml:space="preserve">. </w:t>
      </w:r>
    </w:p>
    <w:p w14:paraId="73B977DE" w14:textId="35193917" w:rsidR="00942744" w:rsidRPr="007546C0" w:rsidRDefault="007211E8">
      <w:pPr>
        <w:pStyle w:val="Odstavecseseznamem"/>
        <w:numPr>
          <w:ilvl w:val="0"/>
          <w:numId w:val="34"/>
        </w:numPr>
        <w:spacing w:after="200"/>
        <w:ind w:left="1134" w:hanging="567"/>
        <w:jc w:val="both"/>
        <w:rPr>
          <w:rFonts w:asciiTheme="minorHAnsi" w:eastAsia="Times New Roman" w:hAnsiTheme="minorHAnsi" w:cs="Times New Roman"/>
          <w:sz w:val="24"/>
          <w:szCs w:val="24"/>
        </w:rPr>
      </w:pPr>
      <w:r>
        <w:rPr>
          <w:rFonts w:asciiTheme="minorHAnsi" w:eastAsia="Times New Roman" w:hAnsiTheme="minorHAnsi" w:cs="Times New Roman"/>
        </w:rPr>
        <w:t>Příjemce má povinnost na vyžádání od MZ poskytnout výše uvedené podklady při průběžné kontrole.</w:t>
      </w:r>
    </w:p>
    <w:p w14:paraId="23AFE446" w14:textId="77777777" w:rsidR="007546C0" w:rsidRPr="007546C0" w:rsidRDefault="007546C0" w:rsidP="007546C0">
      <w:pPr>
        <w:pStyle w:val="Odstavecseseznamem"/>
        <w:spacing w:after="200"/>
        <w:ind w:left="1134"/>
        <w:jc w:val="both"/>
        <w:rPr>
          <w:rFonts w:asciiTheme="minorHAnsi" w:eastAsia="Times New Roman" w:hAnsiTheme="minorHAnsi" w:cs="Times New Roman"/>
          <w:sz w:val="24"/>
          <w:szCs w:val="24"/>
        </w:rPr>
      </w:pPr>
    </w:p>
    <w:p w14:paraId="11F8E6A0" w14:textId="77777777" w:rsidR="00E44DD3" w:rsidRPr="006F133D" w:rsidRDefault="00E44DD3" w:rsidP="006F133D">
      <w:pPr>
        <w:pStyle w:val="Odstavecseseznamem"/>
        <w:numPr>
          <w:ilvl w:val="0"/>
          <w:numId w:val="33"/>
        </w:numPr>
        <w:spacing w:after="200"/>
        <w:ind w:left="567" w:hanging="567"/>
        <w:rPr>
          <w:rFonts w:asciiTheme="minorHAnsi" w:hAnsiTheme="minorHAnsi"/>
          <w:b/>
        </w:rPr>
      </w:pPr>
      <w:r w:rsidRPr="006F133D">
        <w:rPr>
          <w:rFonts w:asciiTheme="minorHAnsi" w:hAnsiTheme="minorHAnsi"/>
          <w:b/>
        </w:rPr>
        <w:t>Kopie/</w:t>
      </w:r>
      <w:proofErr w:type="spellStart"/>
      <w:r w:rsidRPr="006F133D">
        <w:rPr>
          <w:rFonts w:asciiTheme="minorHAnsi" w:hAnsiTheme="minorHAnsi"/>
          <w:b/>
        </w:rPr>
        <w:t>skeny</w:t>
      </w:r>
      <w:proofErr w:type="spellEnd"/>
      <w:r w:rsidRPr="006F133D">
        <w:rPr>
          <w:rFonts w:asciiTheme="minorHAnsi" w:hAnsiTheme="minorHAnsi"/>
          <w:b/>
        </w:rPr>
        <w:t xml:space="preserve"> výkazů účasti na specializačním vzdělávání </w:t>
      </w:r>
    </w:p>
    <w:p w14:paraId="0ED48EF9" w14:textId="77777777" w:rsidR="00E44DD3" w:rsidRPr="009F1E6F" w:rsidRDefault="00E44DD3" w:rsidP="006F133D">
      <w:pPr>
        <w:pStyle w:val="Odstavecseseznamem"/>
        <w:ind w:left="567"/>
        <w:jc w:val="both"/>
      </w:pPr>
      <w:r w:rsidRPr="00E44DD3">
        <w:rPr>
          <w:rFonts w:asciiTheme="minorHAnsi" w:eastAsia="Times New Roman" w:hAnsiTheme="minorHAnsi" w:cs="Times New Roman"/>
        </w:rPr>
        <w:t>Typ podání: Příjemce průběžně nedokládá.</w:t>
      </w:r>
    </w:p>
    <w:p w14:paraId="0B7DAEFE" w14:textId="041280F7" w:rsidR="00E44DD3" w:rsidRDefault="00E44DD3" w:rsidP="009B54BE">
      <w:pPr>
        <w:pStyle w:val="Odstavecseseznamem"/>
        <w:ind w:left="567"/>
        <w:jc w:val="both"/>
        <w:rPr>
          <w:rFonts w:asciiTheme="minorHAnsi" w:eastAsia="Times New Roman" w:hAnsiTheme="minorHAnsi" w:cs="Times New Roman"/>
        </w:rPr>
      </w:pPr>
      <w:r w:rsidRPr="00E44DD3">
        <w:rPr>
          <w:rFonts w:asciiTheme="minorHAnsi" w:eastAsia="Times New Roman" w:hAnsiTheme="minorHAnsi" w:cs="Times New Roman"/>
        </w:rPr>
        <w:t>Příjemce uchovává kopie, případně originály.</w:t>
      </w:r>
      <w:r w:rsidRPr="009F1E6F">
        <w:rPr>
          <w:rStyle w:val="Znakapoznpodarou"/>
          <w:rFonts w:asciiTheme="minorHAnsi" w:eastAsia="Times New Roman" w:hAnsiTheme="minorHAnsi" w:cs="Times New Roman"/>
        </w:rPr>
        <w:footnoteReference w:id="32"/>
      </w:r>
    </w:p>
    <w:p w14:paraId="08D081B4" w14:textId="102AF823" w:rsidR="009B54BE" w:rsidRPr="00E44DD3" w:rsidRDefault="009B54BE" w:rsidP="006F133D">
      <w:pPr>
        <w:pStyle w:val="Odstavecseseznamem"/>
        <w:ind w:left="567"/>
        <w:jc w:val="both"/>
        <w:rPr>
          <w:rFonts w:asciiTheme="minorHAnsi" w:eastAsia="Times New Roman" w:hAnsiTheme="minorHAnsi" w:cs="Times New Roman"/>
        </w:rPr>
      </w:pPr>
      <w:r>
        <w:rPr>
          <w:rFonts w:asciiTheme="minorHAnsi" w:eastAsia="Times New Roman" w:hAnsiTheme="minorHAnsi" w:cs="Times New Roman"/>
        </w:rPr>
        <w:t>Výkazy účasti zahrnují účast na všech vzdělávacích aktivitách, tj. kurzech a praxích.</w:t>
      </w:r>
    </w:p>
    <w:p w14:paraId="6FAEF327" w14:textId="77777777" w:rsidR="00E44DD3" w:rsidRPr="00E44DD3" w:rsidRDefault="00E44DD3" w:rsidP="004B147E">
      <w:pPr>
        <w:pStyle w:val="Odstavecseseznamem"/>
        <w:ind w:left="928"/>
        <w:jc w:val="both"/>
        <w:rPr>
          <w:rFonts w:asciiTheme="minorHAnsi" w:eastAsia="Times New Roman" w:hAnsiTheme="minorHAnsi" w:cs="Times New Roman"/>
        </w:rPr>
      </w:pPr>
    </w:p>
    <w:p w14:paraId="78FF8B96" w14:textId="77777777" w:rsidR="00E44DD3" w:rsidRPr="004B147E" w:rsidRDefault="00E44DD3" w:rsidP="004B147E">
      <w:pPr>
        <w:spacing w:after="200"/>
        <w:jc w:val="both"/>
        <w:rPr>
          <w:rFonts w:asciiTheme="minorHAnsi" w:eastAsia="Times New Roman" w:hAnsiTheme="minorHAnsi" w:cs="Times New Roman"/>
          <w:sz w:val="24"/>
          <w:szCs w:val="24"/>
        </w:rPr>
      </w:pPr>
    </w:p>
    <w:p w14:paraId="099D0008" w14:textId="77777777" w:rsidR="00942744" w:rsidRDefault="007211E8" w:rsidP="00B342B1">
      <w:pPr>
        <w:pStyle w:val="Nadpiss2"/>
        <w:numPr>
          <w:ilvl w:val="0"/>
          <w:numId w:val="20"/>
        </w:numPr>
        <w:ind w:left="567" w:hanging="567"/>
      </w:pPr>
      <w:bookmarkStart w:id="39" w:name="_Toc32936808"/>
      <w:bookmarkStart w:id="40" w:name="_Toc34143063"/>
      <w:bookmarkStart w:id="41" w:name="_b4m90tokvmwx"/>
      <w:bookmarkStart w:id="42" w:name="_Toc34659576"/>
      <w:bookmarkEnd w:id="39"/>
      <w:bookmarkEnd w:id="40"/>
      <w:bookmarkEnd w:id="41"/>
      <w:r>
        <w:t>Vyúčtování výdajů – realizace kurzů a praxí</w:t>
      </w:r>
      <w:bookmarkEnd w:id="42"/>
    </w:p>
    <w:p w14:paraId="6716F9F0" w14:textId="77777777" w:rsidR="00942744" w:rsidRDefault="00942744">
      <w:pPr>
        <w:pStyle w:val="Bezmezer"/>
      </w:pPr>
    </w:p>
    <w:p w14:paraId="777F4D84" w14:textId="06C9B9F6" w:rsidR="00942744" w:rsidRDefault="007211E8">
      <w:pPr>
        <w:widowControl w:val="0"/>
        <w:spacing w:after="200"/>
        <w:contextualSpacing/>
        <w:jc w:val="both"/>
        <w:rPr>
          <w:rFonts w:asciiTheme="minorHAnsi" w:hAnsiTheme="minorHAnsi"/>
          <w:sz w:val="24"/>
          <w:szCs w:val="24"/>
        </w:rPr>
      </w:pPr>
      <w:r>
        <w:rPr>
          <w:rFonts w:asciiTheme="minorHAnsi" w:hAnsiTheme="minorHAnsi"/>
        </w:rPr>
        <w:t>Následující tabulka slouží jako návod pro vyplnění tabulky Vyúčtování výdajů – realizace kurzů a</w:t>
      </w:r>
      <w:r w:rsidR="009160F6">
        <w:rPr>
          <w:rFonts w:asciiTheme="minorHAnsi" w:hAnsiTheme="minorHAnsi"/>
        </w:rPr>
        <w:t> </w:t>
      </w:r>
      <w:r>
        <w:rPr>
          <w:rFonts w:asciiTheme="minorHAnsi" w:hAnsiTheme="minorHAnsi"/>
        </w:rPr>
        <w:t>praxí, která je přílohou tohoto Metodického pokynu</w:t>
      </w:r>
      <w:r>
        <w:rPr>
          <w:rFonts w:asciiTheme="minorHAnsi" w:hAnsiTheme="minorHAnsi"/>
          <w:sz w:val="24"/>
          <w:szCs w:val="24"/>
        </w:rPr>
        <w:t>.</w:t>
      </w:r>
    </w:p>
    <w:p w14:paraId="69CDBF48" w14:textId="77777777" w:rsidR="00942744" w:rsidRDefault="00942744">
      <w:pPr>
        <w:spacing w:after="200"/>
        <w:contextualSpacing/>
        <w:jc w:val="both"/>
        <w:rPr>
          <w:rFonts w:asciiTheme="minorHAnsi" w:eastAsia="Times New Roman" w:hAnsiTheme="minorHAnsi" w:cs="Times New Roman"/>
          <w:b/>
          <w:sz w:val="24"/>
          <w:szCs w:val="24"/>
        </w:rPr>
      </w:pPr>
    </w:p>
    <w:tbl>
      <w:tblPr>
        <w:tblW w:w="9072" w:type="dxa"/>
        <w:tblInd w:w="1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00" w:firstRow="0" w:lastRow="0" w:firstColumn="0" w:lastColumn="0" w:noHBand="0" w:noVBand="1"/>
      </w:tblPr>
      <w:tblGrid>
        <w:gridCol w:w="2447"/>
        <w:gridCol w:w="6625"/>
      </w:tblGrid>
      <w:tr w:rsidR="00942744" w14:paraId="442A4018" w14:textId="77777777" w:rsidTr="00C6233E">
        <w:trPr>
          <w:tblHeader/>
        </w:trPr>
        <w:tc>
          <w:tcPr>
            <w:tcW w:w="244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8" w:type="dxa"/>
            </w:tcMar>
          </w:tcPr>
          <w:p w14:paraId="15301097" w14:textId="77777777" w:rsidR="00942744" w:rsidRDefault="007211E8">
            <w:pPr>
              <w:spacing w:after="288" w:line="240" w:lineRule="auto"/>
              <w:contextualSpacing/>
              <w:jc w:val="center"/>
              <w:rPr>
                <w:rFonts w:asciiTheme="minorHAnsi" w:eastAsia="Times New Roman" w:hAnsiTheme="minorHAnsi" w:cs="Times New Roman"/>
                <w:b/>
                <w:sz w:val="24"/>
                <w:szCs w:val="24"/>
              </w:rPr>
            </w:pPr>
            <w:r>
              <w:rPr>
                <w:rFonts w:asciiTheme="minorHAnsi" w:eastAsia="Times New Roman" w:hAnsiTheme="minorHAnsi" w:cs="Times New Roman"/>
                <w:b/>
                <w:sz w:val="24"/>
                <w:szCs w:val="24"/>
              </w:rPr>
              <w:t>Název buňky</w:t>
            </w:r>
          </w:p>
        </w:tc>
        <w:tc>
          <w:tcPr>
            <w:tcW w:w="6625"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8" w:type="dxa"/>
            </w:tcMar>
          </w:tcPr>
          <w:p w14:paraId="6FF925C1" w14:textId="77777777" w:rsidR="00942744" w:rsidRDefault="007211E8">
            <w:pPr>
              <w:spacing w:after="288" w:line="240" w:lineRule="auto"/>
              <w:contextualSpacing/>
              <w:jc w:val="center"/>
              <w:rPr>
                <w:rFonts w:asciiTheme="minorHAnsi" w:eastAsia="Times New Roman" w:hAnsiTheme="minorHAnsi" w:cs="Times New Roman"/>
                <w:b/>
                <w:sz w:val="24"/>
                <w:szCs w:val="24"/>
              </w:rPr>
            </w:pPr>
            <w:r>
              <w:rPr>
                <w:rFonts w:asciiTheme="minorHAnsi" w:eastAsia="Times New Roman" w:hAnsiTheme="minorHAnsi" w:cs="Times New Roman"/>
                <w:b/>
                <w:sz w:val="24"/>
                <w:szCs w:val="24"/>
              </w:rPr>
              <w:t>Komentář</w:t>
            </w:r>
          </w:p>
        </w:tc>
      </w:tr>
      <w:tr w:rsidR="00942744" w14:paraId="61AF90FE" w14:textId="77777777" w:rsidTr="00C6233E">
        <w:tc>
          <w:tcPr>
            <w:tcW w:w="24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3E9B09D" w14:textId="77777777" w:rsidR="00942744" w:rsidRDefault="007211E8">
            <w:pPr>
              <w:spacing w:after="288" w:line="240" w:lineRule="auto"/>
              <w:contextualSpacing/>
              <w:rPr>
                <w:rFonts w:asciiTheme="minorHAnsi" w:eastAsia="Times New Roman" w:hAnsiTheme="minorHAnsi" w:cs="Times New Roman"/>
                <w:b/>
              </w:rPr>
            </w:pPr>
            <w:r>
              <w:rPr>
                <w:rFonts w:asciiTheme="minorHAnsi" w:eastAsia="Times New Roman" w:hAnsiTheme="minorHAnsi" w:cs="Times New Roman"/>
                <w:b/>
              </w:rPr>
              <w:t>Číslo monitorovacího období</w:t>
            </w:r>
          </w:p>
        </w:tc>
        <w:tc>
          <w:tcPr>
            <w:tcW w:w="6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7292CFC" w14:textId="77777777" w:rsidR="00942744" w:rsidRDefault="007211E8">
            <w:pPr>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Pořadové číslo monitorovacího období.</w:t>
            </w:r>
          </w:p>
        </w:tc>
      </w:tr>
      <w:tr w:rsidR="00942744" w14:paraId="0DA67BD4" w14:textId="77777777" w:rsidTr="00C6233E">
        <w:tc>
          <w:tcPr>
            <w:tcW w:w="24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75A4B1F" w14:textId="77777777" w:rsidR="00942744" w:rsidRDefault="007211E8">
            <w:pPr>
              <w:spacing w:after="288" w:line="240" w:lineRule="auto"/>
              <w:contextualSpacing/>
              <w:rPr>
                <w:rFonts w:asciiTheme="minorHAnsi" w:eastAsia="Times New Roman" w:hAnsiTheme="minorHAnsi" w:cs="Times New Roman"/>
                <w:b/>
              </w:rPr>
            </w:pPr>
            <w:r>
              <w:rPr>
                <w:rFonts w:asciiTheme="minorHAnsi" w:eastAsia="Times New Roman" w:hAnsiTheme="minorHAnsi" w:cs="Times New Roman"/>
                <w:b/>
              </w:rPr>
              <w:t>Rozsah monitorovacího období</w:t>
            </w:r>
          </w:p>
        </w:tc>
        <w:tc>
          <w:tcPr>
            <w:tcW w:w="6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E00BED9" w14:textId="3CE80BAC" w:rsidR="00942744" w:rsidRDefault="007211E8">
            <w:pPr>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Časové rozmezí, za které je tabulka s vyúčtováním předkládána, např. 1. 6. 2018 </w:t>
            </w:r>
            <w:r w:rsidR="00263FBF">
              <w:rPr>
                <w:rFonts w:asciiTheme="minorHAnsi" w:eastAsia="Times New Roman" w:hAnsiTheme="minorHAnsi" w:cs="Times New Roman"/>
              </w:rPr>
              <w:t>–</w:t>
            </w:r>
            <w:r>
              <w:rPr>
                <w:rFonts w:asciiTheme="minorHAnsi" w:eastAsia="Times New Roman" w:hAnsiTheme="minorHAnsi" w:cs="Times New Roman"/>
              </w:rPr>
              <w:t xml:space="preserve"> 31. 1. 2020 atd.</w:t>
            </w:r>
          </w:p>
        </w:tc>
      </w:tr>
      <w:tr w:rsidR="00942744" w14:paraId="2EAF1A34" w14:textId="77777777" w:rsidTr="00C6233E">
        <w:tc>
          <w:tcPr>
            <w:tcW w:w="24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E92432" w14:textId="0E550921" w:rsidR="00942744" w:rsidRDefault="007211E8">
            <w:pPr>
              <w:spacing w:after="288" w:line="240" w:lineRule="auto"/>
              <w:contextualSpacing/>
              <w:rPr>
                <w:rFonts w:asciiTheme="minorHAnsi" w:eastAsia="Times New Roman" w:hAnsiTheme="minorHAnsi" w:cs="Times New Roman"/>
                <w:b/>
              </w:rPr>
            </w:pPr>
            <w:r>
              <w:rPr>
                <w:rFonts w:asciiTheme="minorHAnsi" w:eastAsia="Times New Roman" w:hAnsiTheme="minorHAnsi" w:cs="Times New Roman"/>
                <w:b/>
              </w:rPr>
              <w:t xml:space="preserve">Termín kurzu/praxe (od </w:t>
            </w:r>
            <w:r w:rsidR="00263FBF">
              <w:rPr>
                <w:rFonts w:asciiTheme="minorHAnsi" w:eastAsia="Times New Roman" w:hAnsiTheme="minorHAnsi" w:cs="Times New Roman"/>
                <w:b/>
              </w:rPr>
              <w:t>–</w:t>
            </w:r>
            <w:r>
              <w:rPr>
                <w:rFonts w:asciiTheme="minorHAnsi" w:eastAsia="Times New Roman" w:hAnsiTheme="minorHAnsi" w:cs="Times New Roman"/>
                <w:b/>
              </w:rPr>
              <w:t xml:space="preserve"> do)</w:t>
            </w:r>
          </w:p>
        </w:tc>
        <w:tc>
          <w:tcPr>
            <w:tcW w:w="6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91E6422" w14:textId="77777777" w:rsidR="00942744" w:rsidRDefault="007211E8">
            <w:pPr>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Konkrétní časová data uvádějte ve formátu </w:t>
            </w:r>
            <w:proofErr w:type="spellStart"/>
            <w:proofErr w:type="gramStart"/>
            <w:r>
              <w:rPr>
                <w:rFonts w:asciiTheme="minorHAnsi" w:eastAsia="Times New Roman" w:hAnsiTheme="minorHAnsi" w:cs="Times New Roman"/>
              </w:rPr>
              <w:t>dd.mm.rrrr</w:t>
            </w:r>
            <w:proofErr w:type="spellEnd"/>
            <w:proofErr w:type="gramEnd"/>
            <w:r>
              <w:rPr>
                <w:rFonts w:asciiTheme="minorHAnsi" w:eastAsia="Times New Roman" w:hAnsiTheme="minorHAnsi" w:cs="Times New Roman"/>
              </w:rPr>
              <w:t>.</w:t>
            </w:r>
          </w:p>
          <w:p w14:paraId="1DF4619E" w14:textId="77777777" w:rsidR="00942744" w:rsidRDefault="00942744">
            <w:pPr>
              <w:spacing w:after="288" w:line="240" w:lineRule="auto"/>
              <w:contextualSpacing/>
              <w:rPr>
                <w:rFonts w:asciiTheme="minorHAnsi" w:eastAsia="Times New Roman" w:hAnsiTheme="minorHAnsi" w:cs="Times New Roman"/>
              </w:rPr>
            </w:pPr>
          </w:p>
          <w:p w14:paraId="4351A837" w14:textId="77777777" w:rsidR="00942744" w:rsidRDefault="007211E8">
            <w:pPr>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Maximální rozsah pro řádek je </w:t>
            </w:r>
            <w:r>
              <w:rPr>
                <w:rFonts w:asciiTheme="minorHAnsi" w:eastAsia="Times New Roman" w:hAnsiTheme="minorHAnsi" w:cs="Times New Roman"/>
                <w:u w:val="single"/>
              </w:rPr>
              <w:t>1 kalendářní měsíc</w:t>
            </w:r>
            <w:r>
              <w:rPr>
                <w:rFonts w:asciiTheme="minorHAnsi" w:eastAsia="Times New Roman" w:hAnsiTheme="minorHAnsi" w:cs="Times New Roman"/>
              </w:rPr>
              <w:t xml:space="preserve">. </w:t>
            </w:r>
            <w:proofErr w:type="spellStart"/>
            <w:r>
              <w:rPr>
                <w:rFonts w:asciiTheme="minorHAnsi" w:eastAsia="Times New Roman" w:hAnsiTheme="minorHAnsi" w:cs="Times New Roman"/>
              </w:rPr>
              <w:t>Víceměsíční</w:t>
            </w:r>
            <w:proofErr w:type="spellEnd"/>
            <w:r>
              <w:rPr>
                <w:rFonts w:asciiTheme="minorHAnsi" w:eastAsia="Times New Roman" w:hAnsiTheme="minorHAnsi" w:cs="Times New Roman"/>
              </w:rPr>
              <w:t xml:space="preserve"> praxi je tedy třeba rozepsat po měsících.</w:t>
            </w:r>
          </w:p>
        </w:tc>
      </w:tr>
      <w:tr w:rsidR="00942744" w14:paraId="2B2F6B7F" w14:textId="77777777" w:rsidTr="00C6233E">
        <w:tc>
          <w:tcPr>
            <w:tcW w:w="24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E8CF6AA" w14:textId="77777777" w:rsidR="00942744" w:rsidRDefault="007211E8">
            <w:pPr>
              <w:spacing w:after="288" w:line="240" w:lineRule="auto"/>
              <w:contextualSpacing/>
              <w:rPr>
                <w:rFonts w:asciiTheme="minorHAnsi" w:eastAsia="Times New Roman" w:hAnsiTheme="minorHAnsi" w:cs="Times New Roman"/>
                <w:b/>
              </w:rPr>
            </w:pPr>
            <w:r>
              <w:rPr>
                <w:rFonts w:asciiTheme="minorHAnsi" w:eastAsia="Times New Roman" w:hAnsiTheme="minorHAnsi" w:cs="Times New Roman"/>
                <w:b/>
              </w:rPr>
              <w:t>Název kurzu/praxe dle klíčových aktivit Projektu</w:t>
            </w:r>
          </w:p>
        </w:tc>
        <w:tc>
          <w:tcPr>
            <w:tcW w:w="6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0DF8CF5" w14:textId="77777777" w:rsidR="00942744" w:rsidRDefault="007211E8">
            <w:pPr>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Viz kapitola Úvod bod 7 v tomto Metodickém pokynu.</w:t>
            </w:r>
          </w:p>
        </w:tc>
      </w:tr>
      <w:tr w:rsidR="00942744" w14:paraId="67D76466" w14:textId="77777777" w:rsidTr="00C6233E">
        <w:tc>
          <w:tcPr>
            <w:tcW w:w="24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53BAE78" w14:textId="77777777" w:rsidR="00942744" w:rsidRDefault="007211E8">
            <w:pPr>
              <w:spacing w:after="288" w:line="240" w:lineRule="auto"/>
              <w:contextualSpacing/>
              <w:rPr>
                <w:rFonts w:asciiTheme="minorHAnsi" w:eastAsia="Times New Roman" w:hAnsiTheme="minorHAnsi" w:cs="Times New Roman"/>
                <w:b/>
              </w:rPr>
            </w:pPr>
            <w:r>
              <w:rPr>
                <w:rFonts w:asciiTheme="minorHAnsi" w:eastAsia="Times New Roman" w:hAnsiTheme="minorHAnsi" w:cs="Times New Roman"/>
                <w:b/>
              </w:rPr>
              <w:t>Vzdělávací program dle Věstníku MZ (DN 2015 / DN 2018)</w:t>
            </w:r>
          </w:p>
        </w:tc>
        <w:tc>
          <w:tcPr>
            <w:tcW w:w="6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DA1086F" w14:textId="4CFEB975" w:rsidR="00942744" w:rsidRDefault="007211E8">
            <w:pPr>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Vzdělávací program oboru Dětská neurologie, dle něhož je vzdělávací aktivita realizována, tj. buď podle vzdělávacího programu oboru dětská neurologie, zveřejněného ve Věstníku MZ, roč. 2015, částka 5 (DN 2015), nebo dle vzdělávacího programu specializačního oboru dětská neurologie </w:t>
            </w:r>
            <w:r w:rsidR="00263FBF">
              <w:rPr>
                <w:rFonts w:asciiTheme="minorHAnsi" w:eastAsia="Times New Roman" w:hAnsiTheme="minorHAnsi" w:cs="Times New Roman"/>
              </w:rPr>
              <w:t>–</w:t>
            </w:r>
            <w:r>
              <w:rPr>
                <w:rFonts w:asciiTheme="minorHAnsi" w:eastAsia="Times New Roman" w:hAnsiTheme="minorHAnsi" w:cs="Times New Roman"/>
              </w:rPr>
              <w:t xml:space="preserve"> vlastní specializovaný výcvik, zveřejněného ve Věstníku MZ, roč. 2018, částka 11 (DN 2018).</w:t>
            </w:r>
          </w:p>
          <w:p w14:paraId="55CD782B" w14:textId="77777777" w:rsidR="00942744" w:rsidRDefault="00942744">
            <w:pPr>
              <w:spacing w:after="288" w:line="240" w:lineRule="auto"/>
              <w:contextualSpacing/>
              <w:rPr>
                <w:rFonts w:asciiTheme="minorHAnsi" w:eastAsia="Times New Roman" w:hAnsiTheme="minorHAnsi" w:cs="Times New Roman"/>
              </w:rPr>
            </w:pPr>
          </w:p>
          <w:p w14:paraId="4687EE8D" w14:textId="77777777" w:rsidR="00942744" w:rsidRDefault="007211E8">
            <w:pPr>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Pokud se časová dotace aktivity v programech neliší, je možno uvést zkratku „</w:t>
            </w:r>
            <w:proofErr w:type="spellStart"/>
            <w:r>
              <w:rPr>
                <w:rFonts w:asciiTheme="minorHAnsi" w:eastAsia="Times New Roman" w:hAnsiTheme="minorHAnsi" w:cs="Times New Roman"/>
              </w:rPr>
              <w:t>nr</w:t>
            </w:r>
            <w:proofErr w:type="spellEnd"/>
            <w:r>
              <w:rPr>
                <w:rFonts w:asciiTheme="minorHAnsi" w:eastAsia="Times New Roman" w:hAnsiTheme="minorHAnsi" w:cs="Times New Roman"/>
              </w:rPr>
              <w:t xml:space="preserve">“ (není relevantní). </w:t>
            </w:r>
          </w:p>
        </w:tc>
      </w:tr>
      <w:tr w:rsidR="00942744" w14:paraId="7085FEA4" w14:textId="77777777" w:rsidTr="00C6233E">
        <w:tc>
          <w:tcPr>
            <w:tcW w:w="24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D337A57" w14:textId="77777777" w:rsidR="00942744" w:rsidRDefault="007211E8">
            <w:pPr>
              <w:spacing w:after="288" w:line="240" w:lineRule="auto"/>
              <w:contextualSpacing/>
              <w:rPr>
                <w:rFonts w:asciiTheme="minorHAnsi" w:eastAsia="Times New Roman" w:hAnsiTheme="minorHAnsi" w:cs="Times New Roman"/>
                <w:b/>
              </w:rPr>
            </w:pPr>
            <w:r>
              <w:rPr>
                <w:rFonts w:asciiTheme="minorHAnsi" w:eastAsia="Times New Roman" w:hAnsiTheme="minorHAnsi" w:cs="Times New Roman"/>
                <w:b/>
              </w:rPr>
              <w:t>Časová dotace – Počet dní a Počet hodin</w:t>
            </w:r>
          </w:p>
        </w:tc>
        <w:tc>
          <w:tcPr>
            <w:tcW w:w="6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AE93AEA" w14:textId="7FC86DB5" w:rsidR="00942744" w:rsidRDefault="007211E8">
            <w:pPr>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Časová dotace u plně absolvované klíčové aktivity Projektu musí odpovídat požadavkům na specializační vzdělávání v oboru dětská neurologie, a to buď dle vzdělávacího programu oboru dětská neurologie, zveřejněného ve Věstníku MZ, roč. 2015, částka 5, nebo dle vzdělávacího programu specializačního oboru dětská neurologie </w:t>
            </w:r>
            <w:r w:rsidR="00263FBF">
              <w:rPr>
                <w:rFonts w:asciiTheme="minorHAnsi" w:eastAsia="Times New Roman" w:hAnsiTheme="minorHAnsi" w:cs="Times New Roman"/>
              </w:rPr>
              <w:lastRenderedPageBreak/>
              <w:t>–</w:t>
            </w:r>
            <w:r>
              <w:rPr>
                <w:rFonts w:asciiTheme="minorHAnsi" w:eastAsia="Times New Roman" w:hAnsiTheme="minorHAnsi" w:cs="Times New Roman"/>
              </w:rPr>
              <w:t xml:space="preserve"> vlastní specializovaný výcvik, zveřejněného ve Věstníku MZ, roč. 2018, částka 11.</w:t>
            </w:r>
          </w:p>
        </w:tc>
      </w:tr>
      <w:tr w:rsidR="00942744" w14:paraId="33C34C0F" w14:textId="77777777" w:rsidTr="00C6233E">
        <w:tc>
          <w:tcPr>
            <w:tcW w:w="24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F86DF66" w14:textId="0E2C95A2" w:rsidR="00942744" w:rsidRDefault="007211E8">
            <w:pPr>
              <w:spacing w:after="288" w:line="240" w:lineRule="auto"/>
              <w:contextualSpacing/>
              <w:rPr>
                <w:rFonts w:asciiTheme="minorHAnsi" w:eastAsia="Times New Roman" w:hAnsiTheme="minorHAnsi" w:cs="Times New Roman"/>
                <w:b/>
              </w:rPr>
            </w:pPr>
            <w:r>
              <w:rPr>
                <w:rFonts w:asciiTheme="minorHAnsi" w:eastAsia="Times New Roman" w:hAnsiTheme="minorHAnsi" w:cs="Times New Roman"/>
                <w:b/>
              </w:rPr>
              <w:lastRenderedPageBreak/>
              <w:t xml:space="preserve">Náklady na kurz/praxi </w:t>
            </w:r>
            <w:r w:rsidR="00263FBF">
              <w:rPr>
                <w:rFonts w:asciiTheme="minorHAnsi" w:eastAsia="Times New Roman" w:hAnsiTheme="minorHAnsi" w:cs="Times New Roman"/>
                <w:b/>
              </w:rPr>
              <w:t>–</w:t>
            </w:r>
            <w:r>
              <w:rPr>
                <w:rFonts w:asciiTheme="minorHAnsi" w:eastAsia="Times New Roman" w:hAnsiTheme="minorHAnsi" w:cs="Times New Roman"/>
                <w:b/>
              </w:rPr>
              <w:t xml:space="preserve"> částka výdaje v Projektu (Kč)</w:t>
            </w:r>
          </w:p>
        </w:tc>
        <w:tc>
          <w:tcPr>
            <w:tcW w:w="6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3535C7" w14:textId="77777777" w:rsidR="00942744" w:rsidRDefault="007211E8">
            <w:pPr>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Uveďte vyúčtovanou částku hrazenou z Projektu.</w:t>
            </w:r>
          </w:p>
          <w:p w14:paraId="185CF873" w14:textId="77777777" w:rsidR="00942744" w:rsidRDefault="00942744">
            <w:pPr>
              <w:spacing w:after="288" w:line="240" w:lineRule="auto"/>
              <w:contextualSpacing/>
              <w:rPr>
                <w:rFonts w:asciiTheme="minorHAnsi" w:eastAsia="Times New Roman" w:hAnsiTheme="minorHAnsi" w:cs="Times New Roman"/>
              </w:rPr>
            </w:pPr>
          </w:p>
          <w:p w14:paraId="41B40F7F" w14:textId="77777777" w:rsidR="00942744" w:rsidRDefault="007211E8">
            <w:pPr>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Limity pro jednotlivé klíčové aktivity v Projektu jsou uvedeny v tomto Metodickém pokynu, v kapitole Maximální limity pro vzdělávací aktivity.</w:t>
            </w:r>
          </w:p>
        </w:tc>
      </w:tr>
      <w:tr w:rsidR="00942744" w14:paraId="4FFC1E95" w14:textId="77777777" w:rsidTr="00C6233E">
        <w:tc>
          <w:tcPr>
            <w:tcW w:w="24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649BBE1" w14:textId="339D6D25" w:rsidR="00942744" w:rsidRDefault="007211E8">
            <w:pPr>
              <w:spacing w:after="288" w:line="240" w:lineRule="auto"/>
              <w:contextualSpacing/>
              <w:rPr>
                <w:rFonts w:asciiTheme="minorHAnsi" w:eastAsia="Times New Roman" w:hAnsiTheme="minorHAnsi" w:cs="Times New Roman"/>
                <w:b/>
              </w:rPr>
            </w:pPr>
            <w:r>
              <w:rPr>
                <w:rFonts w:asciiTheme="minorHAnsi" w:eastAsia="Times New Roman" w:hAnsiTheme="minorHAnsi" w:cs="Times New Roman"/>
                <w:b/>
              </w:rPr>
              <w:t xml:space="preserve">Občerstvení </w:t>
            </w:r>
            <w:r w:rsidR="00263FBF">
              <w:rPr>
                <w:rFonts w:asciiTheme="minorHAnsi" w:eastAsia="Times New Roman" w:hAnsiTheme="minorHAnsi" w:cs="Times New Roman"/>
                <w:b/>
              </w:rPr>
              <w:t>–</w:t>
            </w:r>
            <w:r>
              <w:rPr>
                <w:rFonts w:asciiTheme="minorHAnsi" w:eastAsia="Times New Roman" w:hAnsiTheme="minorHAnsi" w:cs="Times New Roman"/>
                <w:b/>
              </w:rPr>
              <w:t xml:space="preserve"> kurz </w:t>
            </w:r>
            <w:r w:rsidR="00263FBF">
              <w:rPr>
                <w:rFonts w:asciiTheme="minorHAnsi" w:eastAsia="Times New Roman" w:hAnsiTheme="minorHAnsi" w:cs="Times New Roman"/>
                <w:b/>
              </w:rPr>
              <w:t>–</w:t>
            </w:r>
            <w:r>
              <w:rPr>
                <w:rFonts w:asciiTheme="minorHAnsi" w:eastAsia="Times New Roman" w:hAnsiTheme="minorHAnsi" w:cs="Times New Roman"/>
                <w:b/>
              </w:rPr>
              <w:t xml:space="preserve"> částka výdaje v Projektu (Kč)</w:t>
            </w:r>
          </w:p>
        </w:tc>
        <w:tc>
          <w:tcPr>
            <w:tcW w:w="6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5B99E2D" w14:textId="77777777" w:rsidR="00942744" w:rsidRDefault="007211E8">
            <w:pPr>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V rámci kurzu lze hradit zabezpečené stravování v cenách místně obvyklých. Limit pro občerstvení pro účastníky na kurzech po dobu trvání výuky je stanoven na 150,- Kč na osobu a den. </w:t>
            </w:r>
          </w:p>
          <w:p w14:paraId="2CF5EC5B" w14:textId="77777777" w:rsidR="00942744" w:rsidRDefault="00942744">
            <w:pPr>
              <w:spacing w:after="288" w:line="240" w:lineRule="auto"/>
              <w:contextualSpacing/>
              <w:rPr>
                <w:rFonts w:asciiTheme="minorHAnsi" w:eastAsia="Times New Roman" w:hAnsiTheme="minorHAnsi" w:cs="Times New Roman"/>
              </w:rPr>
            </w:pPr>
          </w:p>
          <w:p w14:paraId="717927E3" w14:textId="77777777" w:rsidR="00942744" w:rsidRDefault="007211E8">
            <w:pPr>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U praxí nelze tento výdaj uplatnit. </w:t>
            </w:r>
          </w:p>
        </w:tc>
      </w:tr>
      <w:tr w:rsidR="00942744" w14:paraId="799D0203" w14:textId="77777777" w:rsidTr="00C6233E">
        <w:tc>
          <w:tcPr>
            <w:tcW w:w="24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62E225B" w14:textId="77777777" w:rsidR="00942744" w:rsidRDefault="007211E8">
            <w:pPr>
              <w:spacing w:after="288" w:line="240" w:lineRule="auto"/>
              <w:contextualSpacing/>
              <w:rPr>
                <w:rFonts w:asciiTheme="minorHAnsi" w:eastAsia="Times New Roman" w:hAnsiTheme="minorHAnsi" w:cs="Times New Roman"/>
                <w:b/>
              </w:rPr>
            </w:pPr>
            <w:r>
              <w:rPr>
                <w:rFonts w:asciiTheme="minorHAnsi" w:eastAsia="Times New Roman" w:hAnsiTheme="minorHAnsi" w:cs="Times New Roman"/>
                <w:b/>
              </w:rPr>
              <w:t>Datum vzniku nákladu</w:t>
            </w:r>
          </w:p>
        </w:tc>
        <w:tc>
          <w:tcPr>
            <w:tcW w:w="6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2E8C9F0" w14:textId="77777777" w:rsidR="00942744" w:rsidRDefault="007211E8">
            <w:pPr>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U daňových dokladů uveďte datum zdanitelného plnění. U nedaňových dokladů doplňte datum uskutečnění účetního případu; pokud toto datum doklad neobsahuje, pak je pro kontrolu za datum uskutečnění účetního případu považováno datum vyhotovení účetního dokladu, které musí být na dokladu vždy vyznačeno. </w:t>
            </w:r>
          </w:p>
          <w:p w14:paraId="3797BD9A" w14:textId="77777777" w:rsidR="00942744" w:rsidRDefault="00942744">
            <w:pPr>
              <w:spacing w:after="288" w:line="240" w:lineRule="auto"/>
              <w:contextualSpacing/>
              <w:rPr>
                <w:rFonts w:asciiTheme="minorHAnsi" w:eastAsia="Times New Roman" w:hAnsiTheme="minorHAnsi" w:cs="Times New Roman"/>
              </w:rPr>
            </w:pPr>
          </w:p>
          <w:p w14:paraId="53518660" w14:textId="77777777" w:rsidR="00942744" w:rsidRDefault="007211E8">
            <w:pPr>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Použijte formát </w:t>
            </w:r>
            <w:proofErr w:type="spellStart"/>
            <w:proofErr w:type="gramStart"/>
            <w:r>
              <w:rPr>
                <w:rFonts w:asciiTheme="minorHAnsi" w:eastAsia="Times New Roman" w:hAnsiTheme="minorHAnsi" w:cs="Times New Roman"/>
              </w:rPr>
              <w:t>dd.mm.rrrr</w:t>
            </w:r>
            <w:proofErr w:type="spellEnd"/>
            <w:proofErr w:type="gramEnd"/>
            <w:r>
              <w:rPr>
                <w:rFonts w:asciiTheme="minorHAnsi" w:eastAsia="Times New Roman" w:hAnsiTheme="minorHAnsi" w:cs="Times New Roman"/>
              </w:rPr>
              <w:t>.</w:t>
            </w:r>
          </w:p>
        </w:tc>
      </w:tr>
      <w:tr w:rsidR="00942744" w14:paraId="26E93C88" w14:textId="77777777" w:rsidTr="00C6233E">
        <w:tc>
          <w:tcPr>
            <w:tcW w:w="24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6337EF" w14:textId="77777777" w:rsidR="00942744" w:rsidRDefault="007211E8">
            <w:pPr>
              <w:spacing w:after="288" w:line="240" w:lineRule="auto"/>
              <w:contextualSpacing/>
              <w:rPr>
                <w:rFonts w:asciiTheme="minorHAnsi" w:eastAsia="Times New Roman" w:hAnsiTheme="minorHAnsi" w:cs="Times New Roman"/>
                <w:b/>
              </w:rPr>
            </w:pPr>
            <w:r>
              <w:rPr>
                <w:rFonts w:asciiTheme="minorHAnsi" w:eastAsia="Times New Roman" w:hAnsiTheme="minorHAnsi" w:cs="Times New Roman"/>
                <w:b/>
              </w:rPr>
              <w:t>Datum úhrady výdaje</w:t>
            </w:r>
          </w:p>
        </w:tc>
        <w:tc>
          <w:tcPr>
            <w:tcW w:w="6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6595A1" w14:textId="77777777" w:rsidR="00942744" w:rsidRDefault="007211E8">
            <w:pPr>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Uveďte datum dle výpisu z bankovního účtu či výdajového pokladního dokladu. </w:t>
            </w:r>
          </w:p>
          <w:p w14:paraId="582A181B" w14:textId="77777777" w:rsidR="00942744" w:rsidRDefault="00942744">
            <w:pPr>
              <w:spacing w:after="288" w:line="240" w:lineRule="auto"/>
              <w:contextualSpacing/>
              <w:rPr>
                <w:rFonts w:asciiTheme="minorHAnsi" w:eastAsia="Times New Roman" w:hAnsiTheme="minorHAnsi" w:cs="Times New Roman"/>
              </w:rPr>
            </w:pPr>
          </w:p>
          <w:p w14:paraId="61EB9CBF" w14:textId="77777777" w:rsidR="00942744" w:rsidRDefault="007211E8">
            <w:pPr>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Použijte formát </w:t>
            </w:r>
            <w:proofErr w:type="spellStart"/>
            <w:proofErr w:type="gramStart"/>
            <w:r>
              <w:rPr>
                <w:rFonts w:asciiTheme="minorHAnsi" w:eastAsia="Times New Roman" w:hAnsiTheme="minorHAnsi" w:cs="Times New Roman"/>
              </w:rPr>
              <w:t>dd.mm.rrrr</w:t>
            </w:r>
            <w:proofErr w:type="spellEnd"/>
            <w:proofErr w:type="gramEnd"/>
            <w:r>
              <w:rPr>
                <w:rFonts w:asciiTheme="minorHAnsi" w:eastAsia="Times New Roman" w:hAnsiTheme="minorHAnsi" w:cs="Times New Roman"/>
              </w:rPr>
              <w:t>.</w:t>
            </w:r>
          </w:p>
        </w:tc>
      </w:tr>
      <w:tr w:rsidR="00942744" w14:paraId="16314B9B" w14:textId="77777777" w:rsidTr="00C6233E">
        <w:tc>
          <w:tcPr>
            <w:tcW w:w="24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CC3EB85" w14:textId="77777777" w:rsidR="00942744" w:rsidRDefault="007211E8">
            <w:pPr>
              <w:spacing w:after="288" w:line="240" w:lineRule="auto"/>
              <w:contextualSpacing/>
              <w:rPr>
                <w:rFonts w:asciiTheme="minorHAnsi" w:eastAsia="Times New Roman" w:hAnsiTheme="minorHAnsi" w:cs="Times New Roman"/>
                <w:b/>
              </w:rPr>
            </w:pPr>
            <w:r>
              <w:rPr>
                <w:rFonts w:asciiTheme="minorHAnsi" w:eastAsia="Times New Roman" w:hAnsiTheme="minorHAnsi" w:cs="Times New Roman"/>
                <w:b/>
              </w:rPr>
              <w:t>Číslo účetního dokladu v účetnictví</w:t>
            </w:r>
          </w:p>
        </w:tc>
        <w:tc>
          <w:tcPr>
            <w:tcW w:w="6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32F3D68" w14:textId="77777777" w:rsidR="00942744" w:rsidRDefault="007211E8">
            <w:pPr>
              <w:spacing w:after="288" w:line="240" w:lineRule="auto"/>
              <w:contextualSpacing/>
              <w:rPr>
                <w:rFonts w:asciiTheme="minorHAnsi" w:eastAsia="Times New Roman" w:hAnsiTheme="minorHAnsi" w:cs="Times New Roman"/>
              </w:rPr>
            </w:pPr>
            <w:proofErr w:type="spellStart"/>
            <w:r>
              <w:rPr>
                <w:rFonts w:asciiTheme="minorHAnsi" w:eastAsia="Times New Roman" w:hAnsiTheme="minorHAnsi" w:cs="Times New Roman"/>
              </w:rPr>
              <w:t>Sken</w:t>
            </w:r>
            <w:proofErr w:type="spellEnd"/>
            <w:r>
              <w:rPr>
                <w:rFonts w:asciiTheme="minorHAnsi" w:eastAsia="Times New Roman" w:hAnsiTheme="minorHAnsi" w:cs="Times New Roman"/>
              </w:rPr>
              <w:t xml:space="preserve"> účetního dokladu je nutný v případě, pokud částka, která je z něj nárokována jakožto výdaj Projektu, </w:t>
            </w:r>
            <w:r>
              <w:rPr>
                <w:rFonts w:asciiTheme="minorHAnsi" w:eastAsia="Times New Roman" w:hAnsiTheme="minorHAnsi" w:cs="Times New Roman"/>
                <w:u w:val="single"/>
              </w:rPr>
              <w:t>přesahuje 10.000,- Kč</w:t>
            </w:r>
            <w:r>
              <w:rPr>
                <w:rFonts w:asciiTheme="minorHAnsi" w:eastAsia="Times New Roman" w:hAnsiTheme="minorHAnsi" w:cs="Times New Roman"/>
              </w:rPr>
              <w:t>.</w:t>
            </w:r>
          </w:p>
          <w:p w14:paraId="2653B4CC" w14:textId="77777777" w:rsidR="00942744" w:rsidRDefault="00942744">
            <w:pPr>
              <w:spacing w:after="288" w:line="240" w:lineRule="auto"/>
              <w:contextualSpacing/>
              <w:rPr>
                <w:rFonts w:asciiTheme="minorHAnsi" w:eastAsia="Times New Roman" w:hAnsiTheme="minorHAnsi" w:cs="Times New Roman"/>
              </w:rPr>
            </w:pPr>
          </w:p>
          <w:p w14:paraId="744BACCE" w14:textId="77777777" w:rsidR="00942744" w:rsidRDefault="007211E8">
            <w:pPr>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 xml:space="preserve">Informace, že byl </w:t>
            </w:r>
            <w:r>
              <w:rPr>
                <w:rFonts w:asciiTheme="minorHAnsi" w:eastAsia="Times New Roman" w:hAnsiTheme="minorHAnsi" w:cs="Times New Roman"/>
                <w:u w:val="single"/>
              </w:rPr>
              <w:t xml:space="preserve">přiložen </w:t>
            </w:r>
            <w:proofErr w:type="spellStart"/>
            <w:r>
              <w:rPr>
                <w:rFonts w:asciiTheme="minorHAnsi" w:eastAsia="Times New Roman" w:hAnsiTheme="minorHAnsi" w:cs="Times New Roman"/>
                <w:u w:val="single"/>
              </w:rPr>
              <w:t>sken</w:t>
            </w:r>
            <w:proofErr w:type="spellEnd"/>
            <w:r>
              <w:rPr>
                <w:rFonts w:asciiTheme="minorHAnsi" w:eastAsia="Times New Roman" w:hAnsiTheme="minorHAnsi" w:cs="Times New Roman"/>
              </w:rPr>
              <w:t>, potvrďte připojením „(s)" za číslo daného dokladu.</w:t>
            </w:r>
          </w:p>
        </w:tc>
      </w:tr>
      <w:tr w:rsidR="00942744" w14:paraId="570B95E7" w14:textId="77777777" w:rsidTr="00C6233E">
        <w:tc>
          <w:tcPr>
            <w:tcW w:w="24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C2E3B04" w14:textId="77777777" w:rsidR="00942744" w:rsidRDefault="007211E8">
            <w:pPr>
              <w:spacing w:after="288" w:line="240" w:lineRule="auto"/>
              <w:contextualSpacing/>
              <w:rPr>
                <w:rFonts w:asciiTheme="minorHAnsi" w:eastAsia="Times New Roman" w:hAnsiTheme="minorHAnsi" w:cs="Times New Roman"/>
                <w:b/>
              </w:rPr>
            </w:pPr>
            <w:r>
              <w:rPr>
                <w:rFonts w:asciiTheme="minorHAnsi" w:eastAsia="Times New Roman" w:hAnsiTheme="minorHAnsi" w:cs="Times New Roman"/>
                <w:b/>
              </w:rPr>
              <w:t>Jméno a příjmení statutárního zástupce, resp. osoby oprávněné jednat</w:t>
            </w:r>
          </w:p>
        </w:tc>
        <w:tc>
          <w:tcPr>
            <w:tcW w:w="6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9B141F" w14:textId="77777777" w:rsidR="00942744" w:rsidRDefault="007211E8">
            <w:pPr>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Vyplňte v případě, že tabulka není opatřena elektronickým podpisem statutárního zástupce Příjemce, resp. osoby oprávněné jednat.</w:t>
            </w:r>
          </w:p>
          <w:p w14:paraId="1C5FB2EB" w14:textId="77777777" w:rsidR="00942744" w:rsidRDefault="00942744">
            <w:pPr>
              <w:spacing w:after="288" w:line="240" w:lineRule="auto"/>
              <w:contextualSpacing/>
              <w:rPr>
                <w:rFonts w:asciiTheme="minorHAnsi" w:eastAsia="Times New Roman" w:hAnsiTheme="minorHAnsi" w:cs="Times New Roman"/>
              </w:rPr>
            </w:pPr>
          </w:p>
          <w:p w14:paraId="1E5FAA0E" w14:textId="77777777" w:rsidR="00942744" w:rsidRDefault="007211E8">
            <w:pPr>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V případě, že na straně Příjemce připojuje podpis zmocněnec, musí Příjemce dodat MZ originál či ověřenou kopii příslušné plné moci.</w:t>
            </w:r>
          </w:p>
        </w:tc>
      </w:tr>
      <w:tr w:rsidR="00942744" w14:paraId="0B0CB70B" w14:textId="77777777" w:rsidTr="00C6233E">
        <w:tc>
          <w:tcPr>
            <w:tcW w:w="24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282AF4F" w14:textId="77777777" w:rsidR="00942744" w:rsidRDefault="007211E8">
            <w:pPr>
              <w:spacing w:after="288" w:line="240" w:lineRule="auto"/>
              <w:contextualSpacing/>
              <w:rPr>
                <w:rFonts w:asciiTheme="minorHAnsi" w:eastAsia="Times New Roman" w:hAnsiTheme="minorHAnsi" w:cs="Times New Roman"/>
                <w:b/>
              </w:rPr>
            </w:pPr>
            <w:r>
              <w:rPr>
                <w:rFonts w:asciiTheme="minorHAnsi" w:eastAsia="Times New Roman" w:hAnsiTheme="minorHAnsi" w:cs="Times New Roman"/>
                <w:b/>
              </w:rPr>
              <w:t>Datum a podpis statutárního zástupce, resp. osoby oprávněné jednat</w:t>
            </w:r>
          </w:p>
        </w:tc>
        <w:tc>
          <w:tcPr>
            <w:tcW w:w="6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8C5539" w14:textId="77777777" w:rsidR="00942744" w:rsidRDefault="007211E8">
            <w:pPr>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Pokud statutární zástupce, resp. osoba oprávněná jednat, podepisuje vyúčtování výdajů v listinné podobě, využije tento prostor na výtisku dokumentu pro umístění data a svého podpisu.</w:t>
            </w:r>
          </w:p>
          <w:p w14:paraId="14AE385D" w14:textId="77777777" w:rsidR="00942744" w:rsidRDefault="00942744">
            <w:pPr>
              <w:spacing w:after="288" w:line="240" w:lineRule="auto"/>
              <w:contextualSpacing/>
              <w:rPr>
                <w:rFonts w:asciiTheme="minorHAnsi" w:eastAsia="Times New Roman" w:hAnsiTheme="minorHAnsi" w:cs="Times New Roman"/>
              </w:rPr>
            </w:pPr>
          </w:p>
          <w:p w14:paraId="7AB4F44A" w14:textId="77777777" w:rsidR="00942744" w:rsidRDefault="007211E8">
            <w:pPr>
              <w:spacing w:after="288" w:line="240" w:lineRule="auto"/>
              <w:contextualSpacing/>
              <w:rPr>
                <w:rFonts w:asciiTheme="minorHAnsi" w:eastAsia="Times New Roman" w:hAnsiTheme="minorHAnsi" w:cs="Times New Roman"/>
              </w:rPr>
            </w:pPr>
            <w:r>
              <w:rPr>
                <w:rFonts w:asciiTheme="minorHAnsi" w:eastAsia="Times New Roman" w:hAnsiTheme="minorHAnsi" w:cs="Times New Roman"/>
              </w:rPr>
              <w:t>V případě, že na straně Příjemce připojuje podpis zmocněnec, musí Příjemce dodat MZ originál či ověřenou kopii příslušné plné moci.</w:t>
            </w:r>
          </w:p>
        </w:tc>
      </w:tr>
    </w:tbl>
    <w:p w14:paraId="01D6D3BA" w14:textId="77777777" w:rsidR="00942744" w:rsidRDefault="007211E8">
      <w:pPr>
        <w:spacing w:after="288" w:line="240" w:lineRule="auto"/>
        <w:contextualSpacing/>
        <w:rPr>
          <w:rFonts w:asciiTheme="minorHAnsi" w:eastAsia="Times New Roman" w:hAnsiTheme="minorHAnsi" w:cs="Times New Roman"/>
          <w:sz w:val="24"/>
          <w:szCs w:val="24"/>
        </w:rPr>
      </w:pPr>
      <w:r>
        <w:br w:type="page"/>
      </w:r>
    </w:p>
    <w:p w14:paraId="298538EC" w14:textId="77777777" w:rsidR="00942744" w:rsidRDefault="007211E8">
      <w:pPr>
        <w:pStyle w:val="Nadpis1"/>
        <w:numPr>
          <w:ilvl w:val="0"/>
          <w:numId w:val="9"/>
        </w:numPr>
      </w:pPr>
      <w:bookmarkStart w:id="43" w:name="_3whwml4"/>
      <w:bookmarkStart w:id="44" w:name="_Toc34659577"/>
      <w:bookmarkEnd w:id="43"/>
      <w:r>
        <w:lastRenderedPageBreak/>
        <w:t>Publicita</w:t>
      </w:r>
      <w:bookmarkEnd w:id="44"/>
    </w:p>
    <w:p w14:paraId="76E591F8" w14:textId="77777777" w:rsidR="00942744" w:rsidRDefault="00942744">
      <w:pPr>
        <w:pStyle w:val="Odstavecseseznamem"/>
        <w:ind w:left="1061"/>
      </w:pPr>
    </w:p>
    <w:p w14:paraId="601DDEF0" w14:textId="77777777" w:rsidR="00942744" w:rsidRDefault="007211E8">
      <w:pPr>
        <w:numPr>
          <w:ilvl w:val="0"/>
          <w:numId w:val="6"/>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Následující text upřesňuje pravidla a povinnosti při plnění komunikačních a informačních povinností.</w:t>
      </w:r>
    </w:p>
    <w:p w14:paraId="74FE8329" w14:textId="77777777" w:rsidR="00942744" w:rsidRDefault="007211E8">
      <w:pPr>
        <w:numPr>
          <w:ilvl w:val="0"/>
          <w:numId w:val="6"/>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 xml:space="preserve">Během realizace účelu dotace se Příjemce zavazuje informovat veřejnost o podpoře získané z EU fondů tím, že: </w:t>
      </w:r>
    </w:p>
    <w:p w14:paraId="62FAC443" w14:textId="77777777" w:rsidR="00942744" w:rsidRDefault="007211E8">
      <w:pPr>
        <w:numPr>
          <w:ilvl w:val="0"/>
          <w:numId w:val="27"/>
        </w:numPr>
        <w:spacing w:after="200"/>
        <w:ind w:left="1134" w:hanging="567"/>
        <w:jc w:val="both"/>
        <w:rPr>
          <w:rFonts w:asciiTheme="minorHAnsi" w:eastAsia="Times New Roman" w:hAnsiTheme="minorHAnsi" w:cs="Times New Roman"/>
        </w:rPr>
      </w:pPr>
      <w:r>
        <w:rPr>
          <w:rFonts w:asciiTheme="minorHAnsi" w:eastAsia="Times New Roman" w:hAnsiTheme="minorHAnsi" w:cs="Times New Roman"/>
        </w:rPr>
        <w:t xml:space="preserve">zveřejní na </w:t>
      </w:r>
      <w:r>
        <w:rPr>
          <w:rFonts w:asciiTheme="minorHAnsi" w:eastAsia="Times New Roman" w:hAnsiTheme="minorHAnsi" w:cs="Times New Roman"/>
          <w:u w:val="single"/>
        </w:rPr>
        <w:t>své internetové stránce</w:t>
      </w:r>
      <w:r>
        <w:rPr>
          <w:rFonts w:asciiTheme="minorHAnsi" w:eastAsia="Times New Roman" w:hAnsiTheme="minorHAnsi" w:cs="Times New Roman"/>
        </w:rPr>
        <w:t>, pokud taková stránka existuje, stručný popis předmětu dotace (informace o vzdělávacích aktivitách, tj. kurzech a praxích) a zdůrazní, že dotace je součástí projektu MZ „Specializační vzdělávání v oboru dětská neurologie”, který je spolufinancován z prostředků EU; popis je doporučeno vložit při zahájení realizace účelu dotace a následně jej dle potřeby aktualizovat; při vytvoření tohoto popisu Příjemce použije povinné prvky vizuální identity OPZ a logo MZ;</w:t>
      </w:r>
    </w:p>
    <w:p w14:paraId="49482EA8" w14:textId="77777777" w:rsidR="00942744" w:rsidRDefault="007211E8">
      <w:pPr>
        <w:numPr>
          <w:ilvl w:val="0"/>
          <w:numId w:val="27"/>
        </w:numPr>
        <w:spacing w:after="200"/>
        <w:ind w:left="1134" w:hanging="567"/>
        <w:jc w:val="both"/>
        <w:rPr>
          <w:rFonts w:asciiTheme="minorHAnsi" w:eastAsia="Times New Roman" w:hAnsiTheme="minorHAnsi" w:cs="Times New Roman"/>
        </w:rPr>
      </w:pPr>
      <w:r>
        <w:rPr>
          <w:rFonts w:asciiTheme="minorHAnsi" w:eastAsia="Times New Roman" w:hAnsiTheme="minorHAnsi" w:cs="Times New Roman"/>
        </w:rPr>
        <w:t xml:space="preserve">umístí alespoň </w:t>
      </w:r>
      <w:r>
        <w:rPr>
          <w:rFonts w:asciiTheme="minorHAnsi" w:eastAsia="Times New Roman" w:hAnsiTheme="minorHAnsi" w:cs="Times New Roman"/>
          <w:u w:val="single"/>
        </w:rPr>
        <w:t>1 povinný barevný</w:t>
      </w:r>
      <w:r>
        <w:rPr>
          <w:rStyle w:val="Ukotvenpoznmkypodarou"/>
          <w:rFonts w:asciiTheme="minorHAnsi" w:eastAsia="Times New Roman" w:hAnsiTheme="minorHAnsi" w:cs="Times New Roman"/>
          <w:u w:val="single"/>
        </w:rPr>
        <w:footnoteReference w:id="33"/>
      </w:r>
      <w:r>
        <w:rPr>
          <w:rFonts w:asciiTheme="minorHAnsi" w:eastAsia="Times New Roman" w:hAnsiTheme="minorHAnsi" w:cs="Times New Roman"/>
          <w:u w:val="single"/>
        </w:rPr>
        <w:t xml:space="preserve"> plakát</w:t>
      </w:r>
      <w:r>
        <w:rPr>
          <w:rFonts w:asciiTheme="minorHAnsi" w:eastAsia="Times New Roman" w:hAnsiTheme="minorHAnsi" w:cs="Times New Roman"/>
        </w:rPr>
        <w:t>, a to velikosti minimálně A3, v místě realizace dotace na snadno viditelném místě pro veřejnost, jako jsou např. vstupní prostory budovy; umístění zajistí v návaznosti na zahájení realizace a bude jej udržovat do termínu splnění účelu dotace uvedeného v Rozhodnutí; pro realizaci této aktivity Příjemce použije plakát uvedený v příloze</w:t>
      </w:r>
      <w:r>
        <w:rPr>
          <w:rStyle w:val="Ukotvenpoznmkypodarou"/>
          <w:rFonts w:asciiTheme="minorHAnsi" w:eastAsia="Times New Roman" w:hAnsiTheme="minorHAnsi" w:cs="Times New Roman"/>
        </w:rPr>
        <w:footnoteReference w:id="34"/>
      </w:r>
      <w:r>
        <w:rPr>
          <w:rFonts w:asciiTheme="minorHAnsi" w:eastAsia="Times New Roman" w:hAnsiTheme="minorHAnsi" w:cs="Times New Roman"/>
        </w:rPr>
        <w:t xml:space="preserve"> tohoto Metodického pokynu, který již zahrnuje všechny povinné prvky vizuální identity OPZ.</w:t>
      </w:r>
    </w:p>
    <w:p w14:paraId="7132C795" w14:textId="77777777" w:rsidR="00942744" w:rsidRDefault="007211E8">
      <w:pPr>
        <w:numPr>
          <w:ilvl w:val="0"/>
          <w:numId w:val="6"/>
        </w:numPr>
        <w:spacing w:after="200"/>
        <w:ind w:left="567" w:hanging="567"/>
        <w:jc w:val="both"/>
        <w:rPr>
          <w:rFonts w:asciiTheme="minorHAnsi" w:eastAsia="Times New Roman" w:hAnsiTheme="minorHAnsi" w:cs="Times New Roman"/>
        </w:rPr>
      </w:pPr>
      <w:bookmarkStart w:id="45" w:name="_2bn6wsx"/>
      <w:bookmarkEnd w:id="45"/>
      <w:r>
        <w:rPr>
          <w:rFonts w:asciiTheme="minorHAnsi" w:eastAsia="Times New Roman" w:hAnsiTheme="minorHAnsi" w:cs="Times New Roman"/>
        </w:rPr>
        <w:t>Během realizace účelu dotace se Příjemce dále zavazuje:</w:t>
      </w:r>
    </w:p>
    <w:p w14:paraId="441F9631" w14:textId="77777777" w:rsidR="00942744" w:rsidRDefault="007211E8">
      <w:pPr>
        <w:numPr>
          <w:ilvl w:val="0"/>
          <w:numId w:val="28"/>
        </w:numPr>
        <w:spacing w:after="200"/>
        <w:ind w:left="1134" w:hanging="567"/>
        <w:jc w:val="both"/>
        <w:rPr>
          <w:rFonts w:asciiTheme="minorHAnsi" w:eastAsia="Times New Roman" w:hAnsiTheme="minorHAnsi" w:cs="Times New Roman"/>
        </w:rPr>
      </w:pPr>
      <w:bookmarkStart w:id="46" w:name="_4u6lkw2fgzi3"/>
      <w:bookmarkEnd w:id="46"/>
      <w:r>
        <w:rPr>
          <w:rFonts w:asciiTheme="minorHAnsi" w:eastAsia="Times New Roman" w:hAnsiTheme="minorHAnsi" w:cs="Times New Roman"/>
        </w:rPr>
        <w:t xml:space="preserve">označit </w:t>
      </w:r>
      <w:r>
        <w:rPr>
          <w:rFonts w:asciiTheme="minorHAnsi" w:eastAsia="Times New Roman" w:hAnsiTheme="minorHAnsi" w:cs="Times New Roman"/>
          <w:u w:val="single"/>
        </w:rPr>
        <w:t>dokumenty určené pro účastníky</w:t>
      </w:r>
      <w:r>
        <w:rPr>
          <w:rFonts w:asciiTheme="minorHAnsi" w:eastAsia="Times New Roman" w:hAnsiTheme="minorHAnsi" w:cs="Times New Roman"/>
        </w:rPr>
        <w:t xml:space="preserve"> Projektu (tj. zejména programy kurzů, školicí materiály, které Příjemce vytvořil nebo nechal vytvořit pro vzdělávací aktivity apod.) povinnými prvky vizuální identity OPZ</w:t>
      </w:r>
      <w:r>
        <w:rPr>
          <w:rFonts w:asciiTheme="minorHAnsi" w:eastAsia="Times New Roman" w:hAnsiTheme="minorHAnsi" w:cs="Times New Roman"/>
          <w:vertAlign w:val="superscript"/>
        </w:rPr>
        <w:t xml:space="preserve"> </w:t>
      </w:r>
      <w:r>
        <w:rPr>
          <w:rStyle w:val="Ukotvenpoznmkypodarou"/>
          <w:rFonts w:asciiTheme="minorHAnsi" w:eastAsia="Times New Roman" w:hAnsiTheme="minorHAnsi" w:cs="Times New Roman"/>
        </w:rPr>
        <w:footnoteReference w:id="35"/>
      </w:r>
      <w:r>
        <w:rPr>
          <w:rFonts w:asciiTheme="minorHAnsi" w:eastAsia="Times New Roman" w:hAnsiTheme="minorHAnsi" w:cs="Times New Roman"/>
        </w:rPr>
        <w:t xml:space="preserve">, označení logem MZ není povinné; </w:t>
      </w:r>
    </w:p>
    <w:p w14:paraId="0AD1A168" w14:textId="77777777" w:rsidR="00942744" w:rsidRDefault="007211E8">
      <w:pPr>
        <w:numPr>
          <w:ilvl w:val="0"/>
          <w:numId w:val="28"/>
        </w:numPr>
        <w:spacing w:after="200"/>
        <w:ind w:left="1134" w:hanging="567"/>
        <w:jc w:val="both"/>
        <w:rPr>
          <w:rFonts w:asciiTheme="minorHAnsi" w:eastAsia="Times New Roman" w:hAnsiTheme="minorHAnsi" w:cs="Times New Roman"/>
        </w:rPr>
      </w:pPr>
      <w:bookmarkStart w:id="47" w:name="_7eqrm9vtr7c"/>
      <w:bookmarkEnd w:id="47"/>
      <w:r>
        <w:rPr>
          <w:rFonts w:asciiTheme="minorHAnsi" w:eastAsia="Times New Roman" w:hAnsiTheme="minorHAnsi" w:cs="Times New Roman"/>
        </w:rPr>
        <w:t xml:space="preserve">označit </w:t>
      </w:r>
      <w:r>
        <w:rPr>
          <w:rFonts w:asciiTheme="minorHAnsi" w:eastAsia="Times New Roman" w:hAnsiTheme="minorHAnsi" w:cs="Times New Roman"/>
          <w:u w:val="single"/>
        </w:rPr>
        <w:t>školicí místnosti/prostory</w:t>
      </w:r>
      <w:r>
        <w:rPr>
          <w:rFonts w:asciiTheme="minorHAnsi" w:eastAsia="Times New Roman" w:hAnsiTheme="minorHAnsi" w:cs="Times New Roman"/>
        </w:rPr>
        <w:t>, ve kterých probíhají vzdělávací aktivity</w:t>
      </w:r>
      <w:r>
        <w:rPr>
          <w:rStyle w:val="Ukotvenpoznmkypodarou"/>
          <w:rFonts w:asciiTheme="minorHAnsi" w:eastAsia="Times New Roman" w:hAnsiTheme="minorHAnsi" w:cs="Times New Roman"/>
        </w:rPr>
        <w:footnoteReference w:id="36"/>
      </w:r>
      <w:r>
        <w:rPr>
          <w:rFonts w:asciiTheme="minorHAnsi" w:eastAsia="Times New Roman" w:hAnsiTheme="minorHAnsi" w:cs="Times New Roman"/>
        </w:rPr>
        <w:t xml:space="preserve">, a to tím, že ve školicí místnosti/školicích prostorách umístí barevný plakát uvedený v příloze tohoto Metodického pokynu. </w:t>
      </w:r>
    </w:p>
    <w:p w14:paraId="5F064347" w14:textId="77777777" w:rsidR="00942744" w:rsidRDefault="007211E8">
      <w:pPr>
        <w:numPr>
          <w:ilvl w:val="0"/>
          <w:numId w:val="6"/>
        </w:numPr>
        <w:spacing w:after="200"/>
        <w:ind w:left="567" w:hanging="567"/>
        <w:jc w:val="both"/>
      </w:pPr>
      <w:bookmarkStart w:id="48" w:name="_GoBack"/>
      <w:bookmarkEnd w:id="48"/>
      <w:r>
        <w:rPr>
          <w:rFonts w:asciiTheme="minorHAnsi" w:eastAsia="Times New Roman" w:hAnsiTheme="minorHAnsi" w:cs="Times New Roman"/>
        </w:rPr>
        <w:t xml:space="preserve">Povinné prvky vizuální identity OPZ jsou následující a jsou ke stažení na stránkách </w:t>
      </w:r>
      <w:hyperlink r:id="rId12">
        <w:r>
          <w:rPr>
            <w:rStyle w:val="Internetovodkaz"/>
            <w:rFonts w:asciiTheme="minorHAnsi" w:eastAsia="Times New Roman" w:hAnsiTheme="minorHAnsi" w:cs="Times New Roman"/>
            <w:webHidden/>
            <w:color w:val="0070C0"/>
          </w:rPr>
          <w:t>www.esfcr.cz</w:t>
        </w:r>
      </w:hyperlink>
      <w:r>
        <w:rPr>
          <w:rFonts w:asciiTheme="minorHAnsi" w:eastAsia="Times New Roman" w:hAnsiTheme="minorHAnsi" w:cs="Times New Roman"/>
        </w:rPr>
        <w:t xml:space="preserve">: </w:t>
      </w:r>
    </w:p>
    <w:p w14:paraId="0E4FD77C" w14:textId="77777777" w:rsidR="00942744" w:rsidRDefault="007211E8" w:rsidP="000904FF">
      <w:pPr>
        <w:numPr>
          <w:ilvl w:val="1"/>
          <w:numId w:val="29"/>
        </w:numPr>
        <w:ind w:left="1134" w:hanging="567"/>
        <w:jc w:val="both"/>
        <w:rPr>
          <w:rFonts w:asciiTheme="minorHAnsi" w:eastAsia="Times New Roman" w:hAnsiTheme="minorHAnsi" w:cs="Times New Roman"/>
        </w:rPr>
      </w:pPr>
      <w:r>
        <w:rPr>
          <w:rFonts w:asciiTheme="minorHAnsi" w:eastAsia="Times New Roman" w:hAnsiTheme="minorHAnsi" w:cs="Times New Roman"/>
        </w:rPr>
        <w:t>znak EU a odkaz „Evropská unie“</w:t>
      </w:r>
    </w:p>
    <w:p w14:paraId="280A579C" w14:textId="77777777" w:rsidR="00942744" w:rsidRDefault="007211E8" w:rsidP="004B147E">
      <w:pPr>
        <w:numPr>
          <w:ilvl w:val="1"/>
          <w:numId w:val="29"/>
        </w:numPr>
        <w:ind w:left="1134" w:hanging="567"/>
        <w:jc w:val="both"/>
        <w:rPr>
          <w:rFonts w:asciiTheme="minorHAnsi" w:eastAsia="Times New Roman" w:hAnsiTheme="minorHAnsi" w:cs="Times New Roman"/>
        </w:rPr>
      </w:pPr>
      <w:r>
        <w:rPr>
          <w:rFonts w:asciiTheme="minorHAnsi" w:eastAsia="Times New Roman" w:hAnsiTheme="minorHAnsi" w:cs="Times New Roman"/>
        </w:rPr>
        <w:t>odkaz „Evropský sociální fond“</w:t>
      </w:r>
    </w:p>
    <w:p w14:paraId="2FCFD1EA" w14:textId="77777777" w:rsidR="00942744" w:rsidRDefault="007211E8">
      <w:pPr>
        <w:numPr>
          <w:ilvl w:val="1"/>
          <w:numId w:val="29"/>
        </w:numPr>
        <w:spacing w:after="200"/>
        <w:ind w:left="1134" w:hanging="567"/>
        <w:jc w:val="both"/>
        <w:rPr>
          <w:rFonts w:asciiTheme="minorHAnsi" w:eastAsia="Times New Roman" w:hAnsiTheme="minorHAnsi" w:cs="Times New Roman"/>
        </w:rPr>
      </w:pPr>
      <w:r>
        <w:rPr>
          <w:rFonts w:asciiTheme="minorHAnsi" w:eastAsia="Times New Roman" w:hAnsiTheme="minorHAnsi" w:cs="Times New Roman"/>
        </w:rPr>
        <w:t>odkaz „Operační program Zaměstnanost“</w:t>
      </w:r>
    </w:p>
    <w:p w14:paraId="52B4DA78" w14:textId="77777777" w:rsidR="00942744" w:rsidRDefault="007211E8">
      <w:pPr>
        <w:pStyle w:val="Odstavecseseznamem"/>
        <w:numPr>
          <w:ilvl w:val="0"/>
          <w:numId w:val="6"/>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lastRenderedPageBreak/>
        <w:t xml:space="preserve">Povinné prvky vizuální identity OPZ a jejich technické parametry, které je příjemce povinen dodržet, jsou dále popsány v kapitole 19.3 v 10. vydání v dokumentu „Obecná část pravidel pro žadatele a příjemce v rámci OPZ“, který je ke stažení na stránkách na </w:t>
      </w:r>
      <w:hyperlink r:id="rId13">
        <w:r>
          <w:rPr>
            <w:rStyle w:val="Internetovodkaz"/>
            <w:rFonts w:asciiTheme="minorHAnsi" w:eastAsia="Times New Roman" w:hAnsiTheme="minorHAnsi" w:cs="Times New Roman"/>
            <w:webHidden/>
            <w:color w:val="0070C0"/>
          </w:rPr>
          <w:t>www.esfcr.cz</w:t>
        </w:r>
        <w:r>
          <w:rPr>
            <w:rStyle w:val="Ukotvenpoznmkypodarou"/>
            <w:rFonts w:asciiTheme="minorHAnsi" w:eastAsia="Times New Roman" w:hAnsiTheme="minorHAnsi" w:cs="Times New Roman"/>
            <w:color w:val="0070C0"/>
          </w:rPr>
          <w:footnoteReference w:id="37"/>
        </w:r>
      </w:hyperlink>
      <w:r>
        <w:rPr>
          <w:rFonts w:asciiTheme="minorHAnsi" w:eastAsia="Times New Roman" w:hAnsiTheme="minorHAnsi" w:cs="Times New Roman"/>
        </w:rPr>
        <w:t>.</w:t>
      </w:r>
    </w:p>
    <w:p w14:paraId="7F2E0CF9" w14:textId="77777777" w:rsidR="00942744" w:rsidRDefault="00942744">
      <w:pPr>
        <w:pStyle w:val="Odstavecseseznamem"/>
        <w:spacing w:after="200"/>
        <w:ind w:left="1134"/>
        <w:jc w:val="both"/>
        <w:rPr>
          <w:rFonts w:asciiTheme="minorHAnsi" w:eastAsia="Times New Roman" w:hAnsiTheme="minorHAnsi" w:cs="Times New Roman"/>
        </w:rPr>
      </w:pPr>
    </w:p>
    <w:p w14:paraId="24B4B56E" w14:textId="77777777" w:rsidR="00942744" w:rsidRDefault="007211E8">
      <w:pPr>
        <w:pStyle w:val="Odstavecseseznamem"/>
        <w:numPr>
          <w:ilvl w:val="0"/>
          <w:numId w:val="6"/>
        </w:numPr>
        <w:spacing w:after="200"/>
        <w:ind w:left="567" w:hanging="567"/>
        <w:jc w:val="both"/>
      </w:pPr>
      <w:r>
        <w:rPr>
          <w:rFonts w:asciiTheme="minorHAnsi" w:eastAsia="Times New Roman" w:hAnsiTheme="minorHAnsi" w:cs="Times New Roman"/>
        </w:rPr>
        <w:t xml:space="preserve">Logo Ministerstva zdravotnictví je ke stažení na stránkách </w:t>
      </w:r>
      <w:hyperlink r:id="rId14">
        <w:r>
          <w:rPr>
            <w:rStyle w:val="Internetovodkaz"/>
            <w:rFonts w:asciiTheme="minorHAnsi" w:eastAsia="Times New Roman" w:hAnsiTheme="minorHAnsi" w:cs="Times New Roman"/>
            <w:webHidden/>
            <w:color w:val="0070C0"/>
          </w:rPr>
          <w:t>www.mzcr.cz</w:t>
        </w:r>
      </w:hyperlink>
      <w:r>
        <w:rPr>
          <w:rFonts w:asciiTheme="minorHAnsi" w:eastAsia="Times New Roman" w:hAnsiTheme="minorHAnsi" w:cs="Times New Roman"/>
        </w:rPr>
        <w:t xml:space="preserve"> v sekci Evropské fondy/2014-2020 Reforma psychiatrie/Podpora vzniku Center duševního zdraví I.</w:t>
      </w:r>
    </w:p>
    <w:p w14:paraId="43A0F1EF" w14:textId="77777777" w:rsidR="00942744" w:rsidRDefault="00942744">
      <w:pPr>
        <w:spacing w:after="288" w:line="240" w:lineRule="auto"/>
        <w:contextualSpacing/>
        <w:rPr>
          <w:rFonts w:asciiTheme="minorHAnsi" w:hAnsiTheme="minorHAnsi"/>
          <w:sz w:val="40"/>
          <w:szCs w:val="40"/>
        </w:rPr>
      </w:pPr>
    </w:p>
    <w:p w14:paraId="106E47C7" w14:textId="77777777" w:rsidR="00942744" w:rsidRDefault="007211E8">
      <w:pPr>
        <w:pStyle w:val="Nadpis1"/>
        <w:numPr>
          <w:ilvl w:val="0"/>
          <w:numId w:val="30"/>
        </w:numPr>
      </w:pPr>
      <w:bookmarkStart w:id="49" w:name="_Toc34659578"/>
      <w:r>
        <w:t>Změny</w:t>
      </w:r>
      <w:bookmarkEnd w:id="49"/>
    </w:p>
    <w:p w14:paraId="71C44A9F" w14:textId="77777777" w:rsidR="00942744" w:rsidRDefault="00942744"/>
    <w:p w14:paraId="2E0A06D3" w14:textId="5D2AA3EE" w:rsidR="00942744" w:rsidRDefault="007211E8">
      <w:pPr>
        <w:spacing w:after="200"/>
        <w:jc w:val="both"/>
      </w:pPr>
      <w:r>
        <w:rPr>
          <w:rFonts w:asciiTheme="minorHAnsi" w:eastAsia="Times New Roman" w:hAnsiTheme="minorHAnsi" w:cs="Times New Roman"/>
        </w:rPr>
        <w:t xml:space="preserve">Příjemce je povinen bez zbytečného odkladu oznámit MZ veškeré skutečnosti, které mohou mít vliv na plnění účelu dotace uvedeného v Rozhodnutí, a další důležité informace; resp. požádat o změnu Rozhodnutí. </w:t>
      </w:r>
      <w:bookmarkStart w:id="50" w:name="_1pxezwc"/>
      <w:bookmarkEnd w:id="50"/>
    </w:p>
    <w:p w14:paraId="2CB9B97E" w14:textId="77777777" w:rsidR="00FE02FB" w:rsidRDefault="00FE02FB">
      <w:pPr>
        <w:spacing w:after="200"/>
        <w:jc w:val="both"/>
        <w:rPr>
          <w:rFonts w:asciiTheme="minorHAnsi" w:hAnsiTheme="minorHAnsi"/>
          <w:sz w:val="40"/>
          <w:szCs w:val="40"/>
        </w:rPr>
      </w:pPr>
    </w:p>
    <w:p w14:paraId="51B48645" w14:textId="77777777" w:rsidR="00942744" w:rsidRDefault="007211E8">
      <w:pPr>
        <w:pStyle w:val="Nadpis1"/>
        <w:numPr>
          <w:ilvl w:val="0"/>
          <w:numId w:val="9"/>
        </w:numPr>
      </w:pPr>
      <w:bookmarkStart w:id="51" w:name="_Toc34659579"/>
      <w:r>
        <w:t>Financování</w:t>
      </w:r>
      <w:bookmarkEnd w:id="51"/>
    </w:p>
    <w:p w14:paraId="158FF90F" w14:textId="77777777" w:rsidR="00942744" w:rsidRDefault="00942744"/>
    <w:p w14:paraId="4F526ED1" w14:textId="77777777" w:rsidR="00942744" w:rsidRDefault="007211E8">
      <w:pPr>
        <w:numPr>
          <w:ilvl w:val="0"/>
          <w:numId w:val="31"/>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Dotace je poskytována v souladu s Rozhodnutím.</w:t>
      </w:r>
    </w:p>
    <w:p w14:paraId="287234E0" w14:textId="77777777" w:rsidR="00942744" w:rsidRDefault="007211E8">
      <w:pPr>
        <w:numPr>
          <w:ilvl w:val="0"/>
          <w:numId w:val="31"/>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 xml:space="preserve">Maximální celková výše dotace je stanovena v Rozhodnutí. </w:t>
      </w:r>
    </w:p>
    <w:p w14:paraId="40632CE6" w14:textId="77777777" w:rsidR="00942744" w:rsidRDefault="007211E8">
      <w:pPr>
        <w:numPr>
          <w:ilvl w:val="0"/>
          <w:numId w:val="31"/>
        </w:numPr>
        <w:spacing w:after="200"/>
        <w:ind w:left="567" w:hanging="567"/>
        <w:jc w:val="both"/>
        <w:rPr>
          <w:rFonts w:asciiTheme="minorHAnsi" w:eastAsia="Times New Roman" w:hAnsiTheme="minorHAnsi" w:cs="Times New Roman"/>
        </w:rPr>
      </w:pPr>
      <w:r>
        <w:rPr>
          <w:rFonts w:asciiTheme="minorHAnsi" w:eastAsia="Times New Roman" w:hAnsiTheme="minorHAnsi" w:cs="Times New Roman"/>
        </w:rPr>
        <w:t>Zálohy jsou Příjemci poskytovány na základě vyúčtování a případně plánovaných výdajů.</w:t>
      </w:r>
    </w:p>
    <w:p w14:paraId="37BE3DE2" w14:textId="77777777" w:rsidR="00942744" w:rsidRDefault="007211E8">
      <w:pPr>
        <w:numPr>
          <w:ilvl w:val="0"/>
          <w:numId w:val="31"/>
        </w:numPr>
        <w:spacing w:after="200"/>
        <w:ind w:left="567" w:hanging="567"/>
        <w:jc w:val="both"/>
        <w:rPr>
          <w:rFonts w:asciiTheme="minorHAnsi" w:eastAsia="Times New Roman" w:hAnsiTheme="minorHAnsi" w:cs="Times New Roman"/>
          <w:sz w:val="24"/>
          <w:szCs w:val="24"/>
        </w:rPr>
      </w:pPr>
      <w:r>
        <w:rPr>
          <w:rFonts w:asciiTheme="minorHAnsi" w:eastAsia="Times New Roman" w:hAnsiTheme="minorHAnsi" w:cs="Times New Roman"/>
        </w:rPr>
        <w:t>Podmínkou pro poukázání jednotlivých záloh je plnění povinností definovaných v Rozhodnutí, tj. zejména předkládání Zpráv o realizaci projektu a tabulek vyúčtování za monitorovací období.</w:t>
      </w:r>
    </w:p>
    <w:p w14:paraId="1858E823" w14:textId="77777777" w:rsidR="00942744" w:rsidRDefault="007211E8">
      <w:pPr>
        <w:pStyle w:val="Odstavecseseznamem"/>
        <w:numPr>
          <w:ilvl w:val="0"/>
          <w:numId w:val="31"/>
        </w:numPr>
        <w:spacing w:after="200"/>
        <w:ind w:left="567" w:hanging="567"/>
        <w:rPr>
          <w:rFonts w:asciiTheme="minorHAnsi" w:hAnsiTheme="minorHAnsi"/>
          <w:sz w:val="40"/>
          <w:szCs w:val="40"/>
        </w:rPr>
      </w:pPr>
      <w:bookmarkStart w:id="52" w:name="_49x2ik5"/>
      <w:bookmarkEnd w:id="52"/>
      <w:r>
        <w:br w:type="page"/>
      </w:r>
    </w:p>
    <w:p w14:paraId="25CE42CF" w14:textId="0E46D745" w:rsidR="00942744" w:rsidRPr="00FE02FB" w:rsidRDefault="007211E8">
      <w:pPr>
        <w:pStyle w:val="Nadpis1"/>
        <w:numPr>
          <w:ilvl w:val="0"/>
          <w:numId w:val="9"/>
        </w:numPr>
      </w:pPr>
      <w:bookmarkStart w:id="53" w:name="_Toc34659580"/>
      <w:r w:rsidRPr="00FE02FB">
        <w:lastRenderedPageBreak/>
        <w:t>Přílohy</w:t>
      </w:r>
      <w:bookmarkEnd w:id="53"/>
      <w:r w:rsidR="00831DC4" w:rsidRPr="00FE02FB">
        <w:t xml:space="preserve"> </w:t>
      </w:r>
    </w:p>
    <w:p w14:paraId="74E5CC99" w14:textId="7AA0B4B4" w:rsidR="00942744" w:rsidRPr="00FE02FB" w:rsidRDefault="007211E8">
      <w:pPr>
        <w:pStyle w:val="Odstavecseseznamem"/>
        <w:numPr>
          <w:ilvl w:val="0"/>
          <w:numId w:val="32"/>
        </w:numPr>
        <w:spacing w:after="200"/>
        <w:ind w:left="567" w:hanging="567"/>
        <w:jc w:val="both"/>
        <w:rPr>
          <w:rFonts w:asciiTheme="minorHAnsi" w:eastAsia="Times New Roman" w:hAnsiTheme="minorHAnsi" w:cs="Times New Roman"/>
        </w:rPr>
      </w:pPr>
      <w:r w:rsidRPr="00FE02FB">
        <w:rPr>
          <w:rFonts w:asciiTheme="minorHAnsi" w:eastAsia="Times New Roman" w:hAnsiTheme="minorHAnsi" w:cs="Times New Roman"/>
        </w:rPr>
        <w:t xml:space="preserve">Plná moc / Pověření </w:t>
      </w:r>
      <w:bookmarkStart w:id="54" w:name="_Hlk35442231"/>
      <w:r w:rsidR="003F066A">
        <w:rPr>
          <w:rFonts w:asciiTheme="minorHAnsi" w:eastAsia="Times New Roman" w:hAnsiTheme="minorHAnsi" w:cs="Times New Roman"/>
        </w:rPr>
        <w:t>– verze 1.0</w:t>
      </w:r>
      <w:bookmarkEnd w:id="54"/>
    </w:p>
    <w:p w14:paraId="2EE6FBC6" w14:textId="63413D14" w:rsidR="00942744" w:rsidRPr="00B342B1" w:rsidRDefault="007211E8">
      <w:pPr>
        <w:pStyle w:val="Odstavecseseznamem"/>
        <w:numPr>
          <w:ilvl w:val="0"/>
          <w:numId w:val="32"/>
        </w:numPr>
        <w:spacing w:after="200"/>
        <w:ind w:left="567" w:hanging="567"/>
        <w:jc w:val="both"/>
        <w:rPr>
          <w:rFonts w:asciiTheme="minorHAnsi" w:eastAsia="Times New Roman" w:hAnsiTheme="minorHAnsi" w:cs="Times New Roman"/>
        </w:rPr>
      </w:pPr>
      <w:r w:rsidRPr="00B342B1">
        <w:rPr>
          <w:rFonts w:asciiTheme="minorHAnsi" w:eastAsia="Times New Roman" w:hAnsiTheme="minorHAnsi" w:cs="Times New Roman"/>
        </w:rPr>
        <w:t>Zpráva o realizaci projektu</w:t>
      </w:r>
      <w:r w:rsidR="003F066A">
        <w:rPr>
          <w:rFonts w:asciiTheme="minorHAnsi" w:eastAsia="Times New Roman" w:hAnsiTheme="minorHAnsi" w:cs="Times New Roman"/>
        </w:rPr>
        <w:t xml:space="preserve"> – verze 1.0</w:t>
      </w:r>
    </w:p>
    <w:p w14:paraId="5441DEC2" w14:textId="3778DCFF" w:rsidR="00942744" w:rsidRPr="00B342B1" w:rsidRDefault="007211E8">
      <w:pPr>
        <w:pStyle w:val="Odstavecseseznamem"/>
        <w:numPr>
          <w:ilvl w:val="0"/>
          <w:numId w:val="32"/>
        </w:numPr>
        <w:spacing w:after="200"/>
        <w:ind w:left="567" w:hanging="567"/>
        <w:jc w:val="both"/>
        <w:rPr>
          <w:rFonts w:asciiTheme="minorHAnsi" w:eastAsia="Times New Roman" w:hAnsiTheme="minorHAnsi" w:cs="Times New Roman"/>
        </w:rPr>
      </w:pPr>
      <w:r w:rsidRPr="00B342B1">
        <w:rPr>
          <w:rFonts w:asciiTheme="minorHAnsi" w:eastAsia="Times New Roman" w:hAnsiTheme="minorHAnsi" w:cs="Times New Roman"/>
        </w:rPr>
        <w:t xml:space="preserve">Vyúčtování výdajů – realizace kurzů a praxí </w:t>
      </w:r>
      <w:r w:rsidR="003F066A">
        <w:rPr>
          <w:rFonts w:asciiTheme="minorHAnsi" w:eastAsia="Times New Roman" w:hAnsiTheme="minorHAnsi" w:cs="Times New Roman"/>
        </w:rPr>
        <w:t>– verze 1.0</w:t>
      </w:r>
    </w:p>
    <w:p w14:paraId="7E0B9888" w14:textId="77777777" w:rsidR="00942744" w:rsidRPr="00B342B1" w:rsidRDefault="007211E8">
      <w:pPr>
        <w:pStyle w:val="Odstavecseseznamem"/>
        <w:numPr>
          <w:ilvl w:val="0"/>
          <w:numId w:val="32"/>
        </w:numPr>
        <w:spacing w:after="200"/>
        <w:ind w:left="567" w:hanging="567"/>
        <w:jc w:val="both"/>
        <w:rPr>
          <w:rFonts w:asciiTheme="minorHAnsi" w:eastAsia="Times New Roman" w:hAnsiTheme="minorHAnsi" w:cs="Times New Roman"/>
        </w:rPr>
      </w:pPr>
      <w:r w:rsidRPr="00B342B1">
        <w:rPr>
          <w:rFonts w:asciiTheme="minorHAnsi" w:eastAsia="Times New Roman" w:hAnsiTheme="minorHAnsi" w:cs="Times New Roman"/>
        </w:rPr>
        <w:t>Prezenční listina</w:t>
      </w:r>
    </w:p>
    <w:p w14:paraId="1DE7945E" w14:textId="694149D4" w:rsidR="00942744" w:rsidRPr="00B342B1" w:rsidRDefault="007211E8">
      <w:pPr>
        <w:pStyle w:val="Odstavecseseznamem"/>
        <w:numPr>
          <w:ilvl w:val="1"/>
          <w:numId w:val="31"/>
        </w:numPr>
        <w:ind w:left="993" w:hanging="426"/>
        <w:jc w:val="both"/>
        <w:rPr>
          <w:rFonts w:asciiTheme="minorHAnsi" w:eastAsia="Times New Roman" w:hAnsiTheme="minorHAnsi" w:cs="Times New Roman"/>
        </w:rPr>
      </w:pPr>
      <w:r w:rsidRPr="00E06451">
        <w:rPr>
          <w:rFonts w:asciiTheme="minorHAnsi" w:eastAsia="Times New Roman" w:hAnsiTheme="minorHAnsi" w:cs="Times New Roman"/>
        </w:rPr>
        <w:t>Prezenční listina – kurzy</w:t>
      </w:r>
      <w:r w:rsidR="003F066A">
        <w:rPr>
          <w:rFonts w:asciiTheme="minorHAnsi" w:eastAsia="Times New Roman" w:hAnsiTheme="minorHAnsi" w:cs="Times New Roman"/>
        </w:rPr>
        <w:t xml:space="preserve"> – verze 1.0</w:t>
      </w:r>
    </w:p>
    <w:p w14:paraId="58339078" w14:textId="6862F5B4" w:rsidR="00942744" w:rsidRPr="00B342B1" w:rsidRDefault="007211E8">
      <w:pPr>
        <w:pStyle w:val="Odstavecseseznamem"/>
        <w:numPr>
          <w:ilvl w:val="1"/>
          <w:numId w:val="31"/>
        </w:numPr>
        <w:ind w:left="993" w:hanging="426"/>
        <w:jc w:val="both"/>
        <w:rPr>
          <w:rFonts w:asciiTheme="minorHAnsi" w:eastAsia="Times New Roman" w:hAnsiTheme="minorHAnsi" w:cs="Times New Roman"/>
        </w:rPr>
      </w:pPr>
      <w:r w:rsidRPr="00B342B1">
        <w:rPr>
          <w:rFonts w:asciiTheme="minorHAnsi" w:eastAsia="Times New Roman" w:hAnsiTheme="minorHAnsi" w:cs="Times New Roman"/>
        </w:rPr>
        <w:t xml:space="preserve">Prezenční listina vzdělávací aktivity </w:t>
      </w:r>
      <w:r w:rsidR="003F066A">
        <w:rPr>
          <w:rFonts w:asciiTheme="minorHAnsi" w:eastAsia="Times New Roman" w:hAnsiTheme="minorHAnsi" w:cs="Times New Roman"/>
        </w:rPr>
        <w:t>– verze 1.0</w:t>
      </w:r>
    </w:p>
    <w:p w14:paraId="4D3A3FE2" w14:textId="08BA267B" w:rsidR="00942744" w:rsidRPr="00E06451" w:rsidRDefault="007211E8">
      <w:pPr>
        <w:pStyle w:val="Odstavecseseznamem"/>
        <w:numPr>
          <w:ilvl w:val="1"/>
          <w:numId w:val="31"/>
        </w:numPr>
        <w:ind w:left="992" w:hanging="425"/>
        <w:jc w:val="both"/>
        <w:rPr>
          <w:rFonts w:asciiTheme="minorHAnsi" w:eastAsia="Times New Roman" w:hAnsiTheme="minorHAnsi" w:cs="Times New Roman"/>
        </w:rPr>
      </w:pPr>
      <w:r w:rsidRPr="00E06451">
        <w:rPr>
          <w:rFonts w:asciiTheme="minorHAnsi" w:eastAsia="Times New Roman" w:hAnsiTheme="minorHAnsi" w:cs="Times New Roman"/>
        </w:rPr>
        <w:t xml:space="preserve">Poučení GDPR </w:t>
      </w:r>
      <w:r w:rsidR="003F066A">
        <w:rPr>
          <w:rFonts w:asciiTheme="minorHAnsi" w:eastAsia="Times New Roman" w:hAnsiTheme="minorHAnsi" w:cs="Times New Roman"/>
        </w:rPr>
        <w:t>– verze 1.0</w:t>
      </w:r>
    </w:p>
    <w:p w14:paraId="1D9EC2E2" w14:textId="3BBFBE1D" w:rsidR="00831DC4" w:rsidRPr="00E06451" w:rsidRDefault="00831DC4" w:rsidP="00E06451">
      <w:pPr>
        <w:pStyle w:val="Odstavecseseznamem"/>
        <w:numPr>
          <w:ilvl w:val="1"/>
          <w:numId w:val="31"/>
        </w:numPr>
        <w:spacing w:after="200"/>
        <w:ind w:left="992" w:hanging="425"/>
        <w:jc w:val="both"/>
        <w:rPr>
          <w:rFonts w:asciiTheme="minorHAnsi" w:eastAsia="Times New Roman" w:hAnsiTheme="minorHAnsi" w:cs="Times New Roman"/>
        </w:rPr>
      </w:pPr>
      <w:r w:rsidRPr="00E06451">
        <w:rPr>
          <w:rFonts w:asciiTheme="minorHAnsi" w:eastAsia="Times New Roman" w:hAnsiTheme="minorHAnsi" w:cs="Times New Roman"/>
        </w:rPr>
        <w:t xml:space="preserve">Prezenční listina – kurzy </w:t>
      </w:r>
      <w:r w:rsidR="003F066A">
        <w:rPr>
          <w:rFonts w:asciiTheme="minorHAnsi" w:eastAsia="Times New Roman" w:hAnsiTheme="minorHAnsi" w:cs="Times New Roman"/>
        </w:rPr>
        <w:t>– verze 2.0</w:t>
      </w:r>
    </w:p>
    <w:p w14:paraId="60464658" w14:textId="32C2FDFA" w:rsidR="00942744" w:rsidRPr="00B342B1" w:rsidRDefault="007211E8">
      <w:pPr>
        <w:pStyle w:val="Odstavecseseznamem"/>
        <w:numPr>
          <w:ilvl w:val="0"/>
          <w:numId w:val="32"/>
        </w:numPr>
        <w:spacing w:after="200"/>
        <w:ind w:left="567" w:hanging="567"/>
      </w:pPr>
      <w:r w:rsidRPr="00B342B1">
        <w:rPr>
          <w:rFonts w:asciiTheme="minorHAnsi" w:eastAsia="Times New Roman" w:hAnsiTheme="minorHAnsi" w:cs="Times New Roman"/>
        </w:rPr>
        <w:t xml:space="preserve">Povinný plakát </w:t>
      </w:r>
      <w:r w:rsidR="003F066A">
        <w:rPr>
          <w:rFonts w:asciiTheme="minorHAnsi" w:eastAsia="Times New Roman" w:hAnsiTheme="minorHAnsi" w:cs="Times New Roman"/>
        </w:rPr>
        <w:t>– verze 1.0</w:t>
      </w:r>
    </w:p>
    <w:sectPr w:rsidR="00942744" w:rsidRPr="00B342B1">
      <w:headerReference w:type="default" r:id="rId15"/>
      <w:footerReference w:type="default" r:id="rId16"/>
      <w:pgSz w:w="11906" w:h="16838"/>
      <w:pgMar w:top="1898" w:right="1440" w:bottom="1440" w:left="1440" w:header="720" w:footer="720" w:gutter="0"/>
      <w:pgNumType w:start="1"/>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6BBD9" w14:textId="77777777" w:rsidR="00110E3C" w:rsidRDefault="00110E3C">
      <w:pPr>
        <w:spacing w:line="240" w:lineRule="auto"/>
      </w:pPr>
      <w:r>
        <w:separator/>
      </w:r>
    </w:p>
  </w:endnote>
  <w:endnote w:type="continuationSeparator" w:id="0">
    <w:p w14:paraId="09F64153" w14:textId="77777777" w:rsidR="00110E3C" w:rsidRDefault="00110E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6708B" w14:textId="77777777" w:rsidR="00110E3C" w:rsidRDefault="00110E3C">
    <w:pPr>
      <w:widowControl w:val="0"/>
      <w:rPr>
        <w:sz w:val="18"/>
        <w:szCs w:val="18"/>
      </w:rPr>
    </w:pPr>
  </w:p>
  <w:tbl>
    <w:tblPr>
      <w:tblW w:w="9026"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00" w:type="dxa"/>
        <w:left w:w="90" w:type="dxa"/>
        <w:bottom w:w="100" w:type="dxa"/>
        <w:right w:w="100" w:type="dxa"/>
      </w:tblCellMar>
      <w:tblLook w:val="0600" w:firstRow="0" w:lastRow="0" w:firstColumn="0" w:lastColumn="0" w:noHBand="1" w:noVBand="1"/>
    </w:tblPr>
    <w:tblGrid>
      <w:gridCol w:w="3008"/>
      <w:gridCol w:w="3009"/>
      <w:gridCol w:w="3009"/>
    </w:tblGrid>
    <w:tr w:rsidR="00110E3C" w:rsidRPr="0092085E" w14:paraId="31E4DBC3" w14:textId="77777777">
      <w:trPr>
        <w:jc w:val="right"/>
      </w:trPr>
      <w:tc>
        <w:tcPr>
          <w:tcW w:w="3008" w:type="dxa"/>
          <w:tcBorders>
            <w:top w:val="single" w:sz="8" w:space="0" w:color="FFFFFF"/>
            <w:left w:val="single" w:sz="8" w:space="0" w:color="FFFFFF"/>
            <w:bottom w:val="single" w:sz="8" w:space="0" w:color="FFFFFF"/>
            <w:right w:val="single" w:sz="8" w:space="0" w:color="FFFFFF"/>
          </w:tcBorders>
          <w:shd w:val="clear" w:color="auto" w:fill="auto"/>
          <w:tcMar>
            <w:left w:w="90" w:type="dxa"/>
          </w:tcMar>
        </w:tcPr>
        <w:p w14:paraId="2F087F01" w14:textId="703CD5B7" w:rsidR="00110E3C" w:rsidRDefault="00110E3C">
          <w:pPr>
            <w:widowControl w:val="0"/>
            <w:spacing w:line="240" w:lineRule="auto"/>
            <w:rPr>
              <w:sz w:val="18"/>
              <w:szCs w:val="18"/>
            </w:rPr>
          </w:pPr>
          <w:r>
            <w:rPr>
              <w:rFonts w:ascii="Calibri" w:eastAsia="Calibri" w:hAnsi="Calibri" w:cs="Calibri"/>
              <w:sz w:val="18"/>
              <w:szCs w:val="18"/>
            </w:rPr>
            <w:t xml:space="preserve">Číslo verze: 2.0 </w:t>
          </w:r>
        </w:p>
      </w:tc>
      <w:tc>
        <w:tcPr>
          <w:tcW w:w="3009" w:type="dxa"/>
          <w:tcBorders>
            <w:top w:val="single" w:sz="8" w:space="0" w:color="FFFFFF"/>
            <w:left w:val="single" w:sz="8" w:space="0" w:color="FFFFFF"/>
            <w:bottom w:val="single" w:sz="8" w:space="0" w:color="FFFFFF"/>
            <w:right w:val="single" w:sz="8" w:space="0" w:color="FFFFFF"/>
          </w:tcBorders>
          <w:shd w:val="clear" w:color="auto" w:fill="auto"/>
          <w:tcMar>
            <w:left w:w="90" w:type="dxa"/>
          </w:tcMar>
        </w:tcPr>
        <w:p w14:paraId="73FD2286" w14:textId="622DADB2" w:rsidR="00110E3C" w:rsidRDefault="00110E3C">
          <w:pPr>
            <w:widowControl w:val="0"/>
            <w:jc w:val="center"/>
            <w:rPr>
              <w:sz w:val="18"/>
              <w:szCs w:val="18"/>
            </w:rPr>
          </w:pPr>
          <w:r>
            <w:rPr>
              <w:rFonts w:ascii="Calibri" w:eastAsia="Calibri" w:hAnsi="Calibri" w:cs="Calibri"/>
              <w:sz w:val="18"/>
              <w:szCs w:val="18"/>
            </w:rPr>
            <w:t>Platnost od: 1. 6. 2018</w:t>
          </w:r>
        </w:p>
      </w:tc>
      <w:tc>
        <w:tcPr>
          <w:tcW w:w="3009" w:type="dxa"/>
          <w:tcBorders>
            <w:top w:val="single" w:sz="8" w:space="0" w:color="FFFFFF"/>
            <w:left w:val="single" w:sz="8" w:space="0" w:color="FFFFFF"/>
            <w:bottom w:val="single" w:sz="8" w:space="0" w:color="FFFFFF"/>
            <w:right w:val="single" w:sz="8" w:space="0" w:color="FFFFFF"/>
          </w:tcBorders>
          <w:shd w:val="clear" w:color="auto" w:fill="auto"/>
          <w:tcMar>
            <w:left w:w="90" w:type="dxa"/>
          </w:tcMar>
        </w:tcPr>
        <w:p w14:paraId="512274BA" w14:textId="77777777" w:rsidR="00110E3C" w:rsidRPr="006F133D" w:rsidRDefault="00110E3C" w:rsidP="006F133D">
          <w:pPr>
            <w:widowControl w:val="0"/>
            <w:jc w:val="right"/>
            <w:rPr>
              <w:sz w:val="18"/>
              <w:szCs w:val="18"/>
            </w:rPr>
          </w:pPr>
          <w:r w:rsidRPr="006F133D">
            <w:rPr>
              <w:rFonts w:ascii="Calibri" w:eastAsia="Calibri" w:hAnsi="Calibri" w:cs="Calibri"/>
              <w:sz w:val="18"/>
              <w:szCs w:val="18"/>
            </w:rPr>
            <w:t xml:space="preserve">Strana </w:t>
          </w:r>
          <w:r w:rsidRPr="006F133D">
            <w:rPr>
              <w:rFonts w:ascii="Calibri" w:eastAsia="Calibri" w:hAnsi="Calibri" w:cs="Calibri"/>
              <w:sz w:val="18"/>
              <w:szCs w:val="18"/>
            </w:rPr>
            <w:fldChar w:fldCharType="begin"/>
          </w:r>
          <w:r w:rsidRPr="006F133D">
            <w:rPr>
              <w:rFonts w:ascii="Calibri" w:eastAsia="Calibri" w:hAnsi="Calibri" w:cs="Calibri"/>
              <w:sz w:val="18"/>
              <w:szCs w:val="18"/>
            </w:rPr>
            <w:instrText>PAGE</w:instrText>
          </w:r>
          <w:r w:rsidRPr="006F133D">
            <w:rPr>
              <w:rFonts w:ascii="Calibri" w:eastAsia="Calibri" w:hAnsi="Calibri" w:cs="Calibri"/>
              <w:sz w:val="18"/>
              <w:szCs w:val="18"/>
            </w:rPr>
            <w:fldChar w:fldCharType="separate"/>
          </w:r>
          <w:r>
            <w:rPr>
              <w:rFonts w:ascii="Calibri" w:eastAsia="Calibri" w:hAnsi="Calibri" w:cs="Calibri"/>
              <w:noProof/>
              <w:sz w:val="18"/>
              <w:szCs w:val="18"/>
            </w:rPr>
            <w:t>2</w:t>
          </w:r>
          <w:r w:rsidRPr="006F133D">
            <w:rPr>
              <w:rFonts w:ascii="Calibri" w:eastAsia="Calibri" w:hAnsi="Calibri" w:cs="Calibri"/>
              <w:sz w:val="18"/>
              <w:szCs w:val="18"/>
            </w:rPr>
            <w:fldChar w:fldCharType="end"/>
          </w:r>
          <w:r w:rsidRPr="006F133D">
            <w:rPr>
              <w:rFonts w:ascii="Calibri" w:eastAsia="Calibri" w:hAnsi="Calibri" w:cs="Calibri"/>
              <w:sz w:val="18"/>
              <w:szCs w:val="18"/>
            </w:rPr>
            <w:t xml:space="preserve"> (celkem </w:t>
          </w:r>
          <w:r w:rsidRPr="006F133D">
            <w:rPr>
              <w:rFonts w:ascii="Calibri" w:eastAsia="Calibri" w:hAnsi="Calibri" w:cs="Calibri"/>
              <w:sz w:val="18"/>
              <w:szCs w:val="18"/>
            </w:rPr>
            <w:fldChar w:fldCharType="begin"/>
          </w:r>
          <w:r w:rsidRPr="006F133D">
            <w:rPr>
              <w:rFonts w:ascii="Calibri" w:eastAsia="Calibri" w:hAnsi="Calibri" w:cs="Calibri"/>
              <w:sz w:val="18"/>
              <w:szCs w:val="18"/>
            </w:rPr>
            <w:instrText>NUMPAGES</w:instrText>
          </w:r>
          <w:r w:rsidRPr="006F133D">
            <w:rPr>
              <w:rFonts w:ascii="Calibri" w:eastAsia="Calibri" w:hAnsi="Calibri" w:cs="Calibri"/>
              <w:sz w:val="18"/>
              <w:szCs w:val="18"/>
            </w:rPr>
            <w:fldChar w:fldCharType="separate"/>
          </w:r>
          <w:r>
            <w:rPr>
              <w:rFonts w:ascii="Calibri" w:eastAsia="Calibri" w:hAnsi="Calibri" w:cs="Calibri"/>
              <w:noProof/>
              <w:sz w:val="18"/>
              <w:szCs w:val="18"/>
            </w:rPr>
            <w:t>20</w:t>
          </w:r>
          <w:r w:rsidRPr="006F133D">
            <w:rPr>
              <w:rFonts w:ascii="Calibri" w:eastAsia="Calibri" w:hAnsi="Calibri" w:cs="Calibri"/>
              <w:sz w:val="18"/>
              <w:szCs w:val="18"/>
            </w:rPr>
            <w:fldChar w:fldCharType="end"/>
          </w:r>
          <w:r w:rsidRPr="006F133D">
            <w:rPr>
              <w:rFonts w:ascii="Calibri" w:eastAsia="Calibri" w:hAnsi="Calibri" w:cs="Calibri"/>
              <w:sz w:val="18"/>
              <w:szCs w:val="18"/>
            </w:rPr>
            <w:t>)</w:t>
          </w:r>
        </w:p>
      </w:tc>
    </w:tr>
  </w:tbl>
  <w:p w14:paraId="33CF99AA" w14:textId="77777777" w:rsidR="00110E3C" w:rsidRDefault="00110E3C">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22CE8" w14:textId="77777777" w:rsidR="00110E3C" w:rsidRDefault="00110E3C">
      <w:r>
        <w:separator/>
      </w:r>
    </w:p>
  </w:footnote>
  <w:footnote w:type="continuationSeparator" w:id="0">
    <w:p w14:paraId="7940629C" w14:textId="77777777" w:rsidR="00110E3C" w:rsidRDefault="00110E3C">
      <w:r>
        <w:continuationSeparator/>
      </w:r>
    </w:p>
  </w:footnote>
  <w:footnote w:id="1">
    <w:p w14:paraId="024FDBE9" w14:textId="30A7368E" w:rsidR="00110E3C" w:rsidRDefault="00110E3C">
      <w:pPr>
        <w:widowControl w:val="0"/>
        <w:spacing w:after="40" w:line="240" w:lineRule="auto"/>
        <w:jc w:val="both"/>
      </w:pPr>
      <w:r>
        <w:rPr>
          <w:rFonts w:asciiTheme="minorHAnsi" w:hAnsiTheme="minorHAnsi"/>
          <w:sz w:val="18"/>
          <w:szCs w:val="18"/>
          <w:vertAlign w:val="superscript"/>
        </w:rPr>
        <w:footnoteRef/>
      </w:r>
      <w:r>
        <w:rPr>
          <w:rFonts w:asciiTheme="minorHAnsi" w:hAnsiTheme="minorHAnsi"/>
          <w:sz w:val="18"/>
          <w:szCs w:val="18"/>
          <w:vertAlign w:val="superscript"/>
        </w:rPr>
        <w:t xml:space="preserve"> </w:t>
      </w:r>
      <w:r>
        <w:rPr>
          <w:rFonts w:asciiTheme="minorHAnsi" w:eastAsia="Times New Roman" w:hAnsiTheme="minorHAnsi" w:cs="Times New Roman"/>
          <w:sz w:val="18"/>
          <w:szCs w:val="18"/>
        </w:rPr>
        <w:t>Vzdělávací program neurologie, Věstník MZ částka 7, červen 2015; Vzdělávací program dětské lékařství, Věstník MZ částka 8, listopad 2009; Vzdělávací program DN Věstník 2015.</w:t>
      </w:r>
    </w:p>
  </w:footnote>
  <w:footnote w:id="2">
    <w:p w14:paraId="4CB4367C" w14:textId="4FFA93A4" w:rsidR="00110E3C" w:rsidRDefault="00110E3C">
      <w:pPr>
        <w:widowControl w:val="0"/>
        <w:spacing w:after="40" w:line="240" w:lineRule="auto"/>
        <w:jc w:val="both"/>
      </w:pPr>
      <w:r>
        <w:rPr>
          <w:rFonts w:asciiTheme="minorHAnsi" w:hAnsiTheme="minorHAnsi"/>
          <w:sz w:val="18"/>
          <w:szCs w:val="18"/>
          <w:vertAlign w:val="superscript"/>
        </w:rPr>
        <w:footnoteRef/>
      </w:r>
      <w:r>
        <w:rPr>
          <w:rFonts w:asciiTheme="minorHAnsi" w:hAnsiTheme="minorHAnsi"/>
          <w:sz w:val="18"/>
          <w:szCs w:val="18"/>
          <w:vertAlign w:val="superscript"/>
        </w:rPr>
        <w:t xml:space="preserve"> </w:t>
      </w:r>
      <w:r>
        <w:rPr>
          <w:rFonts w:asciiTheme="minorHAnsi" w:eastAsia="Times New Roman" w:hAnsiTheme="minorHAnsi" w:cs="Times New Roman"/>
          <w:sz w:val="18"/>
          <w:szCs w:val="18"/>
        </w:rPr>
        <w:t xml:space="preserve">Resp. kteří teoretickou část vzdělávání absolvovali před více než pěti, resp. 10 lety. </w:t>
      </w:r>
    </w:p>
  </w:footnote>
  <w:footnote w:id="3">
    <w:p w14:paraId="389B1FC5" w14:textId="4883AEAA" w:rsidR="00110E3C" w:rsidRDefault="00110E3C" w:rsidP="00486972">
      <w:pPr>
        <w:keepNext/>
        <w:keepLines/>
        <w:widowControl w:val="0"/>
        <w:spacing w:after="40" w:line="240" w:lineRule="auto"/>
        <w:jc w:val="both"/>
      </w:pPr>
      <w:r>
        <w:rPr>
          <w:rFonts w:asciiTheme="minorHAnsi" w:hAnsiTheme="minorHAnsi"/>
          <w:sz w:val="18"/>
          <w:szCs w:val="18"/>
          <w:vertAlign w:val="superscript"/>
        </w:rPr>
        <w:footnoteRef/>
      </w:r>
      <w:r>
        <w:rPr>
          <w:rFonts w:asciiTheme="minorHAnsi" w:hAnsiTheme="minorHAnsi"/>
          <w:sz w:val="18"/>
          <w:szCs w:val="18"/>
          <w:vertAlign w:val="superscript"/>
        </w:rPr>
        <w:t xml:space="preserve"> </w:t>
      </w:r>
      <w:r>
        <w:rPr>
          <w:rFonts w:asciiTheme="minorHAnsi" w:eastAsia="Times New Roman" w:hAnsiTheme="minorHAnsi" w:cs="Times New Roman"/>
          <w:sz w:val="18"/>
          <w:szCs w:val="18"/>
        </w:rPr>
        <w:t>Vzdělávací program DN Věstník 2018 umožňuje za určitých okolností absolvovat v průběhu specializovaného výcviku teoretickou část vzdělávání, která jinak podle Vyhlášky č. 221/2018 Sb., o vzdělávání v základních kmenech lékařů (dále jen „Vyhláška č. 221/2018 Sb.“) spadá do vzdělávání v základním kmeni.</w:t>
      </w:r>
    </w:p>
  </w:footnote>
  <w:footnote w:id="4">
    <w:p w14:paraId="321EA88D" w14:textId="4DFE9118" w:rsidR="00110E3C" w:rsidRPr="002230F4" w:rsidRDefault="00110E3C">
      <w:pPr>
        <w:spacing w:after="40" w:line="240" w:lineRule="auto"/>
        <w:jc w:val="both"/>
      </w:pPr>
      <w:r>
        <w:rPr>
          <w:rFonts w:asciiTheme="minorHAnsi" w:hAnsiTheme="minorHAnsi"/>
          <w:sz w:val="18"/>
          <w:szCs w:val="18"/>
          <w:vertAlign w:val="superscript"/>
        </w:rPr>
        <w:footnoteRef/>
      </w:r>
      <w:r>
        <w:rPr>
          <w:rFonts w:asciiTheme="minorHAnsi" w:hAnsiTheme="minorHAnsi"/>
          <w:sz w:val="18"/>
          <w:szCs w:val="18"/>
          <w:vertAlign w:val="superscript"/>
        </w:rPr>
        <w:t xml:space="preserve"> </w:t>
      </w:r>
      <w:r>
        <w:rPr>
          <w:rFonts w:asciiTheme="minorHAnsi" w:eastAsia="Times New Roman" w:hAnsiTheme="minorHAnsi" w:cs="Times New Roman"/>
          <w:sz w:val="18"/>
          <w:szCs w:val="18"/>
        </w:rPr>
        <w:t>Resp. který vznikl v průběhu monitorovacích období stanovených v Rozhodnutí a byl uhrazen nejpozději do jednoho měsíce následujícího po uplynutí posledního monitorovacího období, resp. do ukončení administrace poslední Zprávy o realizaci projektu. Příjemce může nárokovat i výdaje, které vznikly v předchozích monitorovacích obdobích, pokud tak předtím neučinil. Výjimku z podmínky skutečného zaplacení tvoří odpisy. Pro případný přepočet uhrazené částky z cizí měny na CZK se postupuje podle aktuálně platné verze „Specifické části pravidel pro žadatele a </w:t>
      </w:r>
      <w:r w:rsidRPr="002230F4">
        <w:rPr>
          <w:rFonts w:asciiTheme="minorHAnsi" w:eastAsia="Times New Roman" w:hAnsiTheme="minorHAnsi" w:cs="Times New Roman"/>
          <w:sz w:val="18"/>
          <w:szCs w:val="18"/>
        </w:rPr>
        <w:t xml:space="preserve">příjemce pro projekty se skutečně vzniklými výdaji a případně také s nepřímými náklady”, kapitoly 6 – viz </w:t>
      </w:r>
      <w:hyperlink r:id="rId1">
        <w:r w:rsidRPr="002230F4">
          <w:rPr>
            <w:rFonts w:asciiTheme="minorHAnsi" w:eastAsia="Times New Roman" w:hAnsiTheme="minorHAnsi" w:cs="Times New Roman"/>
            <w:webHidden/>
            <w:sz w:val="18"/>
            <w:szCs w:val="18"/>
          </w:rPr>
          <w:t>www.esfcr.cz</w:t>
        </w:r>
      </w:hyperlink>
      <w:r w:rsidRPr="002230F4">
        <w:rPr>
          <w:rFonts w:asciiTheme="minorHAnsi" w:eastAsia="Times New Roman" w:hAnsiTheme="minorHAnsi" w:cs="Times New Roman"/>
          <w:sz w:val="18"/>
          <w:szCs w:val="18"/>
        </w:rPr>
        <w:t>. Příjemce výdaj uvede do tabulky vyúčtování tehdy, pokud byl v daném monitorovacím období i uhrazen.</w:t>
      </w:r>
    </w:p>
  </w:footnote>
  <w:footnote w:id="5">
    <w:p w14:paraId="5D34F6D9" w14:textId="3D076131" w:rsidR="00110E3C" w:rsidRDefault="00110E3C">
      <w:pPr>
        <w:spacing w:after="40" w:line="240" w:lineRule="auto"/>
        <w:jc w:val="both"/>
      </w:pPr>
      <w:r w:rsidRPr="002230F4">
        <w:rPr>
          <w:rFonts w:asciiTheme="minorHAnsi" w:hAnsiTheme="minorHAnsi"/>
          <w:sz w:val="18"/>
          <w:szCs w:val="18"/>
          <w:vertAlign w:val="superscript"/>
        </w:rPr>
        <w:footnoteRef/>
      </w:r>
      <w:r w:rsidRPr="002230F4">
        <w:rPr>
          <w:rFonts w:asciiTheme="minorHAnsi" w:eastAsia="Times New Roman" w:hAnsiTheme="minorHAnsi" w:cs="Times New Roman"/>
          <w:sz w:val="18"/>
          <w:szCs w:val="18"/>
        </w:rPr>
        <w:t xml:space="preserve"> V případě cestovních náhrad stačí označit cestovní příkaz.</w:t>
      </w:r>
    </w:p>
  </w:footnote>
  <w:footnote w:id="6">
    <w:p w14:paraId="53EEC390" w14:textId="6882215D" w:rsidR="00110E3C" w:rsidRDefault="00110E3C">
      <w:pPr>
        <w:pStyle w:val="Textpoznpodarou"/>
        <w:spacing w:after="40"/>
      </w:pPr>
      <w:r>
        <w:rPr>
          <w:rStyle w:val="Znakapoznpodarou"/>
          <w:rFonts w:asciiTheme="minorHAnsi" w:hAnsiTheme="minorHAnsi"/>
        </w:rPr>
        <w:footnoteRef/>
      </w:r>
      <w:r>
        <w:rPr>
          <w:rFonts w:asciiTheme="minorHAnsi" w:hAnsiTheme="minorHAnsi"/>
        </w:rPr>
        <w:t xml:space="preserve"> </w:t>
      </w:r>
      <w:r w:rsidRPr="00526CFD">
        <w:rPr>
          <w:rFonts w:asciiTheme="minorHAnsi" w:eastAsia="Times New Roman" w:hAnsiTheme="minorHAnsi" w:cs="Times New Roman"/>
          <w:sz w:val="18"/>
          <w:szCs w:val="18"/>
        </w:rPr>
        <w:t>Viz část III. tohoto Metodického pokynu</w:t>
      </w:r>
      <w:r>
        <w:rPr>
          <w:rFonts w:asciiTheme="minorHAnsi" w:eastAsia="Times New Roman" w:hAnsiTheme="minorHAnsi" w:cs="Times New Roman"/>
          <w:sz w:val="18"/>
          <w:szCs w:val="18"/>
        </w:rPr>
        <w:t>.</w:t>
      </w:r>
    </w:p>
  </w:footnote>
  <w:footnote w:id="7">
    <w:p w14:paraId="09D15843" w14:textId="51F8CDCF" w:rsidR="00110E3C" w:rsidRDefault="00110E3C">
      <w:pPr>
        <w:widowControl w:val="0"/>
        <w:spacing w:after="40" w:line="240" w:lineRule="auto"/>
        <w:jc w:val="both"/>
      </w:pPr>
      <w:r>
        <w:rPr>
          <w:rFonts w:asciiTheme="minorHAnsi" w:hAnsiTheme="minorHAnsi"/>
          <w:sz w:val="18"/>
          <w:szCs w:val="18"/>
          <w:vertAlign w:val="superscript"/>
        </w:rPr>
        <w:footnoteRef/>
      </w:r>
      <w:r>
        <w:rPr>
          <w:rFonts w:asciiTheme="minorHAnsi" w:hAnsiTheme="minorHAnsi"/>
          <w:sz w:val="18"/>
          <w:szCs w:val="18"/>
          <w:vertAlign w:val="superscript"/>
        </w:rPr>
        <w:t xml:space="preserve"> </w:t>
      </w:r>
      <w:r>
        <w:rPr>
          <w:rFonts w:asciiTheme="minorHAnsi" w:eastAsia="Times New Roman" w:hAnsiTheme="minorHAnsi" w:cs="Times New Roman"/>
          <w:sz w:val="18"/>
          <w:szCs w:val="18"/>
        </w:rPr>
        <w:t>V případě KA 1 až KA 4 realizovaných IPVZ je možné se účastnit uvedených kurzů i ve variantě s vyšší časovou dotací, než danému účastníkovi dle kapitoly Zapojení účastníků do klíčových aktivit přísluší, a to do doby akreditace nových (kratších) kurzů IPVZ a také za předpokladu, že IPVZ v dané době nevypsal kurzy s nižší časovou dotací.</w:t>
      </w:r>
    </w:p>
  </w:footnote>
  <w:footnote w:id="8">
    <w:p w14:paraId="3F33B9DD" w14:textId="63FAA33E" w:rsidR="00110E3C" w:rsidRDefault="00110E3C">
      <w:pPr>
        <w:widowControl w:val="0"/>
        <w:spacing w:after="40" w:line="240" w:lineRule="auto"/>
        <w:jc w:val="both"/>
      </w:pPr>
      <w:r>
        <w:rPr>
          <w:rFonts w:asciiTheme="minorHAnsi" w:hAnsiTheme="minorHAnsi"/>
          <w:sz w:val="18"/>
          <w:szCs w:val="18"/>
          <w:vertAlign w:val="superscript"/>
        </w:rPr>
        <w:footnoteRef/>
      </w:r>
      <w:r>
        <w:rPr>
          <w:rFonts w:asciiTheme="minorHAnsi" w:hAnsiTheme="minorHAnsi"/>
          <w:sz w:val="18"/>
          <w:szCs w:val="18"/>
          <w:vertAlign w:val="superscript"/>
        </w:rPr>
        <w:t xml:space="preserve"> </w:t>
      </w:r>
      <w:r w:rsidRPr="00766B38">
        <w:rPr>
          <w:rFonts w:asciiTheme="minorHAnsi" w:eastAsia="Times New Roman" w:hAnsiTheme="minorHAnsi" w:cs="Times New Roman"/>
          <w:sz w:val="18"/>
          <w:szCs w:val="18"/>
        </w:rPr>
        <w:t>Dodržení maximálních limitů bude průběžně monitorováno prostřednictvím průkazů odbornosti</w:t>
      </w:r>
      <w:r>
        <w:rPr>
          <w:rFonts w:asciiTheme="minorHAnsi" w:eastAsia="Times New Roman" w:hAnsiTheme="minorHAnsi" w:cs="Times New Roman"/>
          <w:sz w:val="18"/>
          <w:szCs w:val="18"/>
        </w:rPr>
        <w:t xml:space="preserve"> </w:t>
      </w:r>
      <w:r w:rsidRPr="00766B38">
        <w:rPr>
          <w:rFonts w:asciiTheme="minorHAnsi" w:eastAsia="Times New Roman" w:hAnsiTheme="minorHAnsi" w:cs="Times New Roman"/>
          <w:sz w:val="18"/>
          <w:szCs w:val="18"/>
        </w:rPr>
        <w:t>/</w:t>
      </w:r>
      <w:r>
        <w:rPr>
          <w:rFonts w:asciiTheme="minorHAnsi" w:eastAsia="Times New Roman" w:hAnsiTheme="minorHAnsi" w:cs="Times New Roman"/>
          <w:sz w:val="18"/>
          <w:szCs w:val="18"/>
        </w:rPr>
        <w:t xml:space="preserve"> </w:t>
      </w:r>
      <w:proofErr w:type="spellStart"/>
      <w:r w:rsidRPr="00766B38">
        <w:rPr>
          <w:rFonts w:asciiTheme="minorHAnsi" w:eastAsia="Times New Roman" w:hAnsiTheme="minorHAnsi" w:cs="Times New Roman"/>
          <w:sz w:val="18"/>
          <w:szCs w:val="18"/>
        </w:rPr>
        <w:t>logbooků</w:t>
      </w:r>
      <w:proofErr w:type="spellEnd"/>
      <w:r w:rsidRPr="00766B38">
        <w:rPr>
          <w:rFonts w:asciiTheme="minorHAnsi" w:eastAsia="Times New Roman" w:hAnsiTheme="minorHAnsi" w:cs="Times New Roman"/>
          <w:sz w:val="18"/>
          <w:szCs w:val="18"/>
        </w:rPr>
        <w:t xml:space="preserve"> předložených zaměstnavatelem účastníka při kontrole jeho Vyúčtování za monitorovací období.</w:t>
      </w:r>
    </w:p>
  </w:footnote>
  <w:footnote w:id="9">
    <w:p w14:paraId="3E6E1D9D" w14:textId="1043F22B" w:rsidR="00110E3C" w:rsidRDefault="00110E3C">
      <w:pPr>
        <w:spacing w:after="40" w:line="240" w:lineRule="auto"/>
        <w:jc w:val="both"/>
      </w:pPr>
      <w:r>
        <w:rPr>
          <w:rFonts w:asciiTheme="minorHAnsi" w:hAnsiTheme="minorHAnsi"/>
          <w:sz w:val="18"/>
          <w:szCs w:val="18"/>
          <w:vertAlign w:val="superscript"/>
        </w:rPr>
        <w:footnoteRef/>
      </w:r>
      <w:r>
        <w:rPr>
          <w:rFonts w:asciiTheme="minorHAnsi" w:hAnsiTheme="minorHAnsi"/>
          <w:sz w:val="18"/>
          <w:szCs w:val="18"/>
          <w:vertAlign w:val="superscript"/>
        </w:rPr>
        <w:t xml:space="preserve"> </w:t>
      </w:r>
      <w:r>
        <w:rPr>
          <w:rFonts w:asciiTheme="minorHAnsi" w:eastAsia="Times New Roman" w:hAnsiTheme="minorHAnsi" w:cs="Times New Roman"/>
          <w:sz w:val="18"/>
          <w:szCs w:val="18"/>
        </w:rPr>
        <w:t>V případě, že účastník bude mít v průkazu odbornosti/</w:t>
      </w:r>
      <w:proofErr w:type="spellStart"/>
      <w:r>
        <w:rPr>
          <w:rFonts w:asciiTheme="minorHAnsi" w:eastAsia="Times New Roman" w:hAnsiTheme="minorHAnsi" w:cs="Times New Roman"/>
          <w:sz w:val="18"/>
          <w:szCs w:val="18"/>
        </w:rPr>
        <w:t>logbooku</w:t>
      </w:r>
      <w:proofErr w:type="spellEnd"/>
      <w:r>
        <w:rPr>
          <w:rFonts w:asciiTheme="minorHAnsi" w:eastAsia="Times New Roman" w:hAnsiTheme="minorHAnsi" w:cs="Times New Roman"/>
          <w:sz w:val="18"/>
          <w:szCs w:val="18"/>
        </w:rPr>
        <w:t xml:space="preserve"> uveden plný (maximální) počet měsíců, avšak ve skutečnosti v rámci uvedené doby čerpal dovolenou či byl nemocen apod., je možné maximální limity v Projektu, uvedené v kapitole Zapojení účastníků do klíčových aktivit, překročit, a to až o 10 %.</w:t>
      </w:r>
    </w:p>
  </w:footnote>
  <w:footnote w:id="10">
    <w:p w14:paraId="2172F112" w14:textId="782048AD" w:rsidR="00110E3C" w:rsidRDefault="00110E3C">
      <w:pPr>
        <w:spacing w:after="40" w:line="240" w:lineRule="auto"/>
        <w:jc w:val="both"/>
      </w:pPr>
      <w:r>
        <w:rPr>
          <w:rFonts w:asciiTheme="minorHAnsi" w:hAnsiTheme="minorHAnsi"/>
          <w:sz w:val="18"/>
          <w:szCs w:val="18"/>
          <w:vertAlign w:val="superscript"/>
        </w:rPr>
        <w:footnoteRef/>
      </w:r>
      <w:r>
        <w:rPr>
          <w:rFonts w:asciiTheme="minorHAnsi" w:eastAsia="Times New Roman" w:hAnsiTheme="minorHAnsi" w:cs="Times New Roman"/>
          <w:sz w:val="18"/>
          <w:szCs w:val="18"/>
        </w:rPr>
        <w:t xml:space="preserve"> V případě přerušení účasti na kurzu (např. z důvodu nemoci apod.) a následné účasti na stejném kurzu (ale v jiném termínu), je možné proplatit náklady za tyto kurzy, dohromady však maximálně do výše uvedené v kapitole Maximální limity pro konkrétní kurz.</w:t>
      </w:r>
    </w:p>
  </w:footnote>
  <w:footnote w:id="11">
    <w:p w14:paraId="5196FBA1" w14:textId="2BB3C4C5" w:rsidR="00110E3C" w:rsidRDefault="00110E3C">
      <w:pPr>
        <w:spacing w:after="40" w:line="240" w:lineRule="auto"/>
        <w:jc w:val="both"/>
      </w:pPr>
      <w:r>
        <w:rPr>
          <w:rFonts w:asciiTheme="minorHAnsi" w:hAnsiTheme="minorHAnsi"/>
          <w:sz w:val="18"/>
          <w:szCs w:val="18"/>
          <w:vertAlign w:val="superscript"/>
        </w:rPr>
        <w:footnoteRef/>
      </w:r>
      <w:r>
        <w:rPr>
          <w:rFonts w:asciiTheme="minorHAnsi" w:hAnsiTheme="minorHAnsi"/>
          <w:sz w:val="18"/>
          <w:szCs w:val="18"/>
          <w:vertAlign w:val="superscript"/>
        </w:rPr>
        <w:t xml:space="preserve"> </w:t>
      </w:r>
      <w:r>
        <w:rPr>
          <w:rFonts w:asciiTheme="minorHAnsi" w:eastAsia="Times New Roman" w:hAnsiTheme="minorHAnsi" w:cs="Times New Roman"/>
          <w:sz w:val="18"/>
          <w:szCs w:val="18"/>
        </w:rPr>
        <w:t>Moment úplného absolvování, tj. dokončení kurzu je okamžik, kdy je proveden příslušný záznam do průkazu odbornosti/</w:t>
      </w:r>
      <w:proofErr w:type="spellStart"/>
      <w:r>
        <w:rPr>
          <w:rFonts w:asciiTheme="minorHAnsi" w:eastAsia="Times New Roman" w:hAnsiTheme="minorHAnsi" w:cs="Times New Roman"/>
          <w:sz w:val="18"/>
          <w:szCs w:val="18"/>
        </w:rPr>
        <w:t>logbooku</w:t>
      </w:r>
      <w:proofErr w:type="spellEnd"/>
      <w:r>
        <w:rPr>
          <w:rFonts w:asciiTheme="minorHAnsi" w:eastAsia="Times New Roman" w:hAnsiTheme="minorHAnsi" w:cs="Times New Roman"/>
          <w:sz w:val="18"/>
          <w:szCs w:val="18"/>
        </w:rPr>
        <w:t>.</w:t>
      </w:r>
    </w:p>
  </w:footnote>
  <w:footnote w:id="12">
    <w:p w14:paraId="28404341" w14:textId="41B78390" w:rsidR="00110E3C" w:rsidRDefault="00110E3C">
      <w:pPr>
        <w:widowControl w:val="0"/>
        <w:spacing w:after="40" w:line="240" w:lineRule="auto"/>
        <w:jc w:val="both"/>
      </w:pPr>
      <w:r>
        <w:rPr>
          <w:rFonts w:asciiTheme="minorHAnsi" w:hAnsiTheme="minorHAnsi"/>
          <w:sz w:val="18"/>
          <w:szCs w:val="18"/>
          <w:vertAlign w:val="superscript"/>
        </w:rPr>
        <w:footnoteRef/>
      </w:r>
      <w:r>
        <w:rPr>
          <w:rFonts w:asciiTheme="minorHAnsi" w:eastAsia="Times New Roman" w:hAnsiTheme="minorHAnsi" w:cs="Times New Roman"/>
          <w:sz w:val="18"/>
          <w:szCs w:val="18"/>
        </w:rPr>
        <w:t xml:space="preserve"> V případě, že se účast na jednom kurzu protáhne do více monitorovacích období, budou výdaje k danému kurzu zahrnuty do vyúčtování až (nejdříve) za období, ve kterém dojde k dokončení kurzu. </w:t>
      </w:r>
    </w:p>
  </w:footnote>
  <w:footnote w:id="13">
    <w:p w14:paraId="4460E071" w14:textId="28986A6F" w:rsidR="00110E3C" w:rsidRDefault="00110E3C">
      <w:pPr>
        <w:spacing w:after="40" w:line="240" w:lineRule="auto"/>
        <w:jc w:val="both"/>
      </w:pPr>
      <w:r>
        <w:rPr>
          <w:rFonts w:asciiTheme="minorHAnsi" w:hAnsiTheme="minorHAnsi"/>
          <w:sz w:val="18"/>
          <w:szCs w:val="18"/>
          <w:vertAlign w:val="superscript"/>
        </w:rPr>
        <w:footnoteRef/>
      </w:r>
      <w:r>
        <w:rPr>
          <w:rFonts w:asciiTheme="minorHAnsi" w:hAnsiTheme="minorHAnsi"/>
          <w:sz w:val="18"/>
          <w:szCs w:val="18"/>
          <w:vertAlign w:val="superscript"/>
        </w:rPr>
        <w:t xml:space="preserve"> </w:t>
      </w:r>
      <w:r>
        <w:rPr>
          <w:rFonts w:asciiTheme="minorHAnsi" w:eastAsia="Times New Roman" w:hAnsiTheme="minorHAnsi" w:cs="Times New Roman"/>
          <w:sz w:val="18"/>
          <w:szCs w:val="18"/>
        </w:rPr>
        <w:t>Specifická pravidla jsou závazná ve verzi platné v den učinění příslušného úkonu souvisejícího s plněním účelu poskytnuté dotace, nebo v den porušení příslušného ustanovení plynoucího z právních předpisů či Specifických pravidel. Odkazy na jednotlivé kapitoly dále v textu vycházejí ze struktury 10. vydání Specifických pravidel.</w:t>
      </w:r>
    </w:p>
  </w:footnote>
  <w:footnote w:id="14">
    <w:p w14:paraId="538F21FF" w14:textId="693DE55B" w:rsidR="00110E3C" w:rsidRDefault="00110E3C">
      <w:pPr>
        <w:spacing w:after="40" w:line="240" w:lineRule="auto"/>
        <w:jc w:val="both"/>
      </w:pPr>
      <w:r>
        <w:rPr>
          <w:rFonts w:asciiTheme="minorHAnsi" w:hAnsiTheme="minorHAnsi"/>
          <w:sz w:val="18"/>
          <w:szCs w:val="18"/>
          <w:vertAlign w:val="superscript"/>
        </w:rPr>
        <w:footnoteRef/>
      </w:r>
      <w:r>
        <w:rPr>
          <w:rFonts w:asciiTheme="minorHAnsi" w:hAnsiTheme="minorHAnsi"/>
          <w:sz w:val="18"/>
          <w:szCs w:val="18"/>
          <w:vertAlign w:val="superscript"/>
        </w:rPr>
        <w:t xml:space="preserve"> </w:t>
      </w:r>
      <w:r>
        <w:rPr>
          <w:rFonts w:asciiTheme="minorHAnsi" w:eastAsia="Times New Roman" w:hAnsiTheme="minorHAnsi" w:cs="Times New Roman"/>
          <w:sz w:val="18"/>
          <w:szCs w:val="18"/>
        </w:rPr>
        <w:t>To platí zejména v případech bodu 2), písmena b) a c) této části.</w:t>
      </w:r>
    </w:p>
  </w:footnote>
  <w:footnote w:id="15">
    <w:p w14:paraId="35181066" w14:textId="08BE0348" w:rsidR="00110E3C" w:rsidRDefault="00110E3C">
      <w:pPr>
        <w:spacing w:after="40" w:line="240" w:lineRule="auto"/>
        <w:jc w:val="both"/>
      </w:pPr>
      <w:r>
        <w:rPr>
          <w:rFonts w:asciiTheme="minorHAnsi" w:hAnsiTheme="minorHAnsi"/>
          <w:sz w:val="18"/>
          <w:szCs w:val="18"/>
          <w:vertAlign w:val="superscript"/>
        </w:rPr>
        <w:footnoteRef/>
      </w:r>
      <w:r>
        <w:rPr>
          <w:rFonts w:asciiTheme="minorHAnsi" w:eastAsia="Times New Roman" w:hAnsiTheme="minorHAnsi" w:cs="Times New Roman"/>
          <w:sz w:val="18"/>
          <w:szCs w:val="18"/>
        </w:rPr>
        <w:t xml:space="preserve"> Hrubá mzda je mzda před snížením o pojistné na všeobecné zdravotní pojištění a sociální zabezpečení, zálohové splátky daně z příjmů fyzických osob a další zákonné nebo se zaměstnancem dohodnuté srážky. Hrubá (nominální) mzda zahrnuje všechny pracovní příjmy, které byly v daném období zaměstnanci zúčtovány k výplatě.</w:t>
      </w:r>
      <w:r>
        <w:rPr>
          <w:rFonts w:asciiTheme="minorHAnsi" w:eastAsia="Times New Roman" w:hAnsiTheme="minorHAnsi" w:cs="Times New Roman"/>
          <w:sz w:val="18"/>
          <w:szCs w:val="18"/>
          <w:highlight w:val="yellow"/>
        </w:rPr>
        <w:t xml:space="preserve"> </w:t>
      </w:r>
    </w:p>
  </w:footnote>
  <w:footnote w:id="16">
    <w:p w14:paraId="7739EDF2" w14:textId="6DB98780" w:rsidR="00110E3C" w:rsidRDefault="00110E3C">
      <w:pPr>
        <w:spacing w:after="40" w:line="240" w:lineRule="auto"/>
        <w:jc w:val="both"/>
      </w:pPr>
      <w:r>
        <w:rPr>
          <w:rFonts w:asciiTheme="minorHAnsi" w:hAnsiTheme="minorHAnsi"/>
          <w:sz w:val="18"/>
          <w:szCs w:val="18"/>
          <w:vertAlign w:val="superscript"/>
        </w:rPr>
        <w:footnoteRef/>
      </w:r>
      <w:r>
        <w:rPr>
          <w:rFonts w:asciiTheme="minorHAnsi" w:eastAsia="Times New Roman" w:hAnsiTheme="minorHAnsi" w:cs="Times New Roman"/>
          <w:sz w:val="18"/>
          <w:szCs w:val="18"/>
        </w:rPr>
        <w:t xml:space="preserve"> Např. pojistné podle vyhlášky MF č. 125/1993, kterou se stanoví podmínky a sazby zákonného pojištění odpovědnosti zaměstnavatele za škodu při pracovním úrazu nebo nemoci z povolání. </w:t>
      </w:r>
    </w:p>
  </w:footnote>
  <w:footnote w:id="17">
    <w:p w14:paraId="046A5567" w14:textId="12731DA0" w:rsidR="00110E3C" w:rsidRDefault="00110E3C">
      <w:pPr>
        <w:spacing w:after="40" w:line="240" w:lineRule="auto"/>
        <w:jc w:val="both"/>
      </w:pPr>
      <w:r>
        <w:rPr>
          <w:rFonts w:asciiTheme="minorHAnsi" w:hAnsiTheme="minorHAnsi"/>
          <w:sz w:val="18"/>
          <w:szCs w:val="18"/>
          <w:vertAlign w:val="superscript"/>
        </w:rPr>
        <w:footnoteRef/>
      </w:r>
      <w:r>
        <w:rPr>
          <w:rFonts w:asciiTheme="minorHAnsi" w:hAnsiTheme="minorHAnsi"/>
          <w:sz w:val="18"/>
          <w:szCs w:val="18"/>
          <w:vertAlign w:val="superscript"/>
        </w:rPr>
        <w:t xml:space="preserve"> </w:t>
      </w:r>
      <w:r>
        <w:rPr>
          <w:rFonts w:asciiTheme="minorHAnsi" w:eastAsia="Times New Roman" w:hAnsiTheme="minorHAnsi" w:cs="Times New Roman"/>
          <w:sz w:val="18"/>
          <w:szCs w:val="18"/>
        </w:rPr>
        <w:t xml:space="preserve">Pravidelnou odměnou se rozumí odměna poskytnutá za standardní výsledky práce. </w:t>
      </w:r>
    </w:p>
  </w:footnote>
  <w:footnote w:id="18">
    <w:p w14:paraId="7E5B06E3" w14:textId="70D9FDEB" w:rsidR="00110E3C" w:rsidRDefault="00110E3C">
      <w:pPr>
        <w:spacing w:after="40" w:line="240" w:lineRule="auto"/>
        <w:jc w:val="both"/>
      </w:pPr>
      <w:r>
        <w:rPr>
          <w:rFonts w:asciiTheme="minorHAnsi" w:hAnsiTheme="minorHAnsi"/>
          <w:sz w:val="18"/>
          <w:szCs w:val="18"/>
          <w:vertAlign w:val="superscript"/>
        </w:rPr>
        <w:footnoteRef/>
      </w:r>
      <w:r>
        <w:rPr>
          <w:rFonts w:asciiTheme="minorHAnsi" w:hAnsiTheme="minorHAnsi"/>
          <w:sz w:val="18"/>
          <w:szCs w:val="18"/>
          <w:vertAlign w:val="superscript"/>
        </w:rPr>
        <w:t xml:space="preserve"> </w:t>
      </w:r>
      <w:r>
        <w:rPr>
          <w:rFonts w:asciiTheme="minorHAnsi" w:eastAsia="Times New Roman" w:hAnsiTheme="minorHAnsi" w:cs="Times New Roman"/>
          <w:sz w:val="18"/>
          <w:szCs w:val="18"/>
        </w:rPr>
        <w:t>Limit 150,- Kč na účastníka a den po dobu trvání výuky.</w:t>
      </w:r>
    </w:p>
  </w:footnote>
  <w:footnote w:id="19">
    <w:p w14:paraId="052434B2" w14:textId="63F95FB8" w:rsidR="00110E3C" w:rsidRDefault="00110E3C">
      <w:pPr>
        <w:spacing w:after="40" w:line="240" w:lineRule="auto"/>
        <w:jc w:val="both"/>
      </w:pPr>
      <w:r>
        <w:rPr>
          <w:rFonts w:asciiTheme="minorHAnsi" w:hAnsiTheme="minorHAnsi"/>
          <w:sz w:val="18"/>
          <w:szCs w:val="18"/>
          <w:vertAlign w:val="superscript"/>
        </w:rPr>
        <w:footnoteRef/>
      </w:r>
      <w:r>
        <w:rPr>
          <w:rFonts w:asciiTheme="minorHAnsi" w:eastAsia="Times New Roman" w:hAnsiTheme="minorHAnsi" w:cs="Times New Roman"/>
          <w:sz w:val="18"/>
          <w:szCs w:val="18"/>
        </w:rPr>
        <w:t xml:space="preserve"> Kategorie zahrnuje náklady na materiál a režijní náklady, např. náklady na spotřební a kancelářský materiál, nákup paliv.</w:t>
      </w:r>
    </w:p>
  </w:footnote>
  <w:footnote w:id="20">
    <w:p w14:paraId="59063873" w14:textId="308165E8" w:rsidR="00110E3C" w:rsidRDefault="00110E3C">
      <w:pPr>
        <w:spacing w:after="40" w:line="240" w:lineRule="auto"/>
        <w:jc w:val="both"/>
      </w:pPr>
      <w:r>
        <w:rPr>
          <w:rFonts w:asciiTheme="minorHAnsi" w:hAnsiTheme="minorHAnsi"/>
          <w:sz w:val="18"/>
          <w:szCs w:val="18"/>
          <w:vertAlign w:val="superscript"/>
        </w:rPr>
        <w:footnoteRef/>
      </w:r>
      <w:r>
        <w:rPr>
          <w:rFonts w:asciiTheme="minorHAnsi" w:hAnsiTheme="minorHAnsi"/>
          <w:sz w:val="18"/>
          <w:szCs w:val="18"/>
          <w:vertAlign w:val="superscript"/>
        </w:rPr>
        <w:t xml:space="preserve"> </w:t>
      </w:r>
      <w:r>
        <w:rPr>
          <w:rFonts w:asciiTheme="minorHAnsi" w:eastAsia="Times New Roman" w:hAnsiTheme="minorHAnsi" w:cs="Times New Roman"/>
          <w:sz w:val="18"/>
          <w:szCs w:val="18"/>
        </w:rPr>
        <w:t>Monitorovací období jsou stanovena v Rozhodnutí.</w:t>
      </w:r>
    </w:p>
  </w:footnote>
  <w:footnote w:id="21">
    <w:p w14:paraId="1DCB0312" w14:textId="0246691B" w:rsidR="00110E3C" w:rsidRPr="002724A5" w:rsidRDefault="00110E3C" w:rsidP="00E44DD3">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Pr>
          <w:rFonts w:asciiTheme="minorHAnsi" w:eastAsia="Times New Roman" w:hAnsiTheme="minorHAnsi" w:cs="Times New Roman"/>
          <w:sz w:val="18"/>
          <w:szCs w:val="18"/>
        </w:rPr>
        <w:t xml:space="preserve"> </w:t>
      </w:r>
      <w:r w:rsidRPr="006F133D">
        <w:rPr>
          <w:rFonts w:asciiTheme="minorHAnsi" w:eastAsia="Times New Roman" w:hAnsiTheme="minorHAnsi" w:cs="Times New Roman"/>
          <w:sz w:val="18"/>
          <w:szCs w:val="18"/>
        </w:rPr>
        <w:t>V některých případech jsou dostačující pouze ověřené kopie nebo pouze kopie, tato informace je dále výslovně u jednotlivých druhů podkladů uvedena.</w:t>
      </w:r>
      <w:r w:rsidRPr="002724A5">
        <w:rPr>
          <w:rFonts w:asciiTheme="minorHAnsi" w:eastAsia="Times New Roman" w:hAnsiTheme="minorHAnsi" w:cs="Times New Roman"/>
          <w:sz w:val="20"/>
          <w:szCs w:val="20"/>
        </w:rPr>
        <w:t xml:space="preserve"> </w:t>
      </w:r>
    </w:p>
  </w:footnote>
  <w:footnote w:id="22">
    <w:p w14:paraId="3B3FB60C" w14:textId="2D5EE0ED" w:rsidR="00110E3C" w:rsidRPr="00905244" w:rsidRDefault="00110E3C" w:rsidP="00914647">
      <w:pPr>
        <w:pStyle w:val="Textpoznpodarou"/>
        <w:jc w:val="both"/>
        <w:rPr>
          <w:lang w:val="cs-CZ"/>
        </w:rPr>
      </w:pPr>
      <w:r w:rsidRPr="006F133D">
        <w:rPr>
          <w:rFonts w:asciiTheme="minorHAnsi" w:hAnsiTheme="minorHAnsi"/>
          <w:sz w:val="18"/>
          <w:szCs w:val="18"/>
        </w:rPr>
        <w:footnoteRef/>
      </w:r>
      <w:r>
        <w:rPr>
          <w:rFonts w:asciiTheme="minorHAnsi" w:hAnsiTheme="minorHAnsi"/>
          <w:sz w:val="18"/>
          <w:szCs w:val="18"/>
        </w:rPr>
        <w:t xml:space="preserve"> </w:t>
      </w:r>
      <w:r w:rsidRPr="006F133D">
        <w:rPr>
          <w:rFonts w:asciiTheme="minorHAnsi" w:hAnsiTheme="minorHAnsi"/>
          <w:sz w:val="18"/>
          <w:szCs w:val="18"/>
        </w:rPr>
        <w:t>V části č. I. Zprávy o realizaci projektu není nutné podrobněji uvádět účast na kurzech a praxích, jelikož tyto informace plynou z vyúčtování.</w:t>
      </w:r>
      <w:r w:rsidRPr="00905244">
        <w:rPr>
          <w:rFonts w:asciiTheme="minorHAnsi" w:eastAsia="Times New Roman" w:hAnsiTheme="minorHAnsi" w:cs="Times New Roman"/>
        </w:rPr>
        <w:t xml:space="preserve"> </w:t>
      </w:r>
    </w:p>
  </w:footnote>
  <w:footnote w:id="23">
    <w:p w14:paraId="5EB07EEC" w14:textId="07A25E37" w:rsidR="00110E3C" w:rsidRDefault="00110E3C">
      <w:pPr>
        <w:widowControl w:val="0"/>
        <w:spacing w:after="40" w:line="240" w:lineRule="auto"/>
        <w:jc w:val="both"/>
      </w:pPr>
      <w:r>
        <w:rPr>
          <w:rFonts w:asciiTheme="minorHAnsi" w:hAnsiTheme="minorHAnsi"/>
          <w:sz w:val="18"/>
          <w:szCs w:val="18"/>
          <w:vertAlign w:val="superscript"/>
        </w:rPr>
        <w:footnoteRef/>
      </w:r>
      <w:r>
        <w:rPr>
          <w:rFonts w:asciiTheme="minorHAnsi" w:eastAsia="Times New Roman" w:hAnsiTheme="minorHAnsi" w:cs="Times New Roman"/>
          <w:sz w:val="18"/>
          <w:szCs w:val="18"/>
        </w:rPr>
        <w:t xml:space="preserve"> Případně výdajový pokladní doklad.</w:t>
      </w:r>
    </w:p>
  </w:footnote>
  <w:footnote w:id="24">
    <w:p w14:paraId="34021A32" w14:textId="7B0520F8" w:rsidR="00110E3C" w:rsidRDefault="00110E3C">
      <w:pPr>
        <w:spacing w:after="40" w:line="240" w:lineRule="auto"/>
        <w:jc w:val="both"/>
      </w:pPr>
      <w:r>
        <w:rPr>
          <w:rFonts w:asciiTheme="minorHAnsi" w:hAnsiTheme="minorHAnsi"/>
          <w:sz w:val="18"/>
          <w:szCs w:val="18"/>
          <w:vertAlign w:val="superscript"/>
        </w:rPr>
        <w:footnoteRef/>
      </w:r>
      <w:r>
        <w:rPr>
          <w:rFonts w:asciiTheme="minorHAnsi" w:hAnsiTheme="minorHAnsi"/>
          <w:sz w:val="18"/>
          <w:szCs w:val="18"/>
        </w:rPr>
        <w:t xml:space="preserve"> V případě mzdových výdajů je částka posuzována z hlediska </w:t>
      </w:r>
      <w:proofErr w:type="spellStart"/>
      <w:r>
        <w:rPr>
          <w:rFonts w:asciiTheme="minorHAnsi" w:hAnsiTheme="minorHAnsi"/>
          <w:sz w:val="18"/>
          <w:szCs w:val="18"/>
        </w:rPr>
        <w:t>superhrubé</w:t>
      </w:r>
      <w:proofErr w:type="spellEnd"/>
      <w:r>
        <w:rPr>
          <w:rFonts w:asciiTheme="minorHAnsi" w:hAnsiTheme="minorHAnsi"/>
          <w:sz w:val="18"/>
          <w:szCs w:val="18"/>
        </w:rPr>
        <w:t xml:space="preserve"> mzdy. </w:t>
      </w:r>
    </w:p>
  </w:footnote>
  <w:footnote w:id="25">
    <w:p w14:paraId="4FB3D0AC" w14:textId="4B84FF2E" w:rsidR="00110E3C" w:rsidRDefault="00110E3C">
      <w:pPr>
        <w:pStyle w:val="Textpoznpodarou"/>
        <w:spacing w:after="40"/>
      </w:pPr>
      <w:r>
        <w:rPr>
          <w:rStyle w:val="Znakapoznpodarou"/>
          <w:rFonts w:asciiTheme="minorHAnsi" w:hAnsiTheme="minorHAnsi"/>
        </w:rPr>
        <w:footnoteRef/>
      </w:r>
      <w:r>
        <w:rPr>
          <w:rFonts w:asciiTheme="minorHAnsi" w:hAnsiTheme="minorHAnsi"/>
        </w:rPr>
        <w:t xml:space="preserve"> </w:t>
      </w:r>
      <w:r w:rsidRPr="006F133D">
        <w:rPr>
          <w:rFonts w:asciiTheme="minorHAnsi" w:eastAsia="Times New Roman" w:hAnsiTheme="minorHAnsi" w:cs="Times New Roman"/>
          <w:sz w:val="18"/>
          <w:szCs w:val="18"/>
        </w:rPr>
        <w:t>Viz část IV. tohoto Metodického pokynu.</w:t>
      </w:r>
    </w:p>
  </w:footnote>
  <w:footnote w:id="26">
    <w:p w14:paraId="40592E87" w14:textId="54168DCE" w:rsidR="00110E3C" w:rsidRDefault="00110E3C" w:rsidP="006F133D">
      <w:pPr>
        <w:jc w:val="both"/>
      </w:pPr>
      <w:r w:rsidRPr="00526CFD">
        <w:rPr>
          <w:rStyle w:val="Znakapoznpodarou"/>
          <w:rFonts w:asciiTheme="minorHAnsi" w:hAnsiTheme="minorHAnsi"/>
        </w:rPr>
        <w:footnoteRef/>
      </w:r>
      <w:r>
        <w:t xml:space="preserve"> </w:t>
      </w:r>
      <w:r>
        <w:rPr>
          <w:rFonts w:asciiTheme="minorHAnsi" w:eastAsia="Times New Roman" w:hAnsiTheme="minorHAnsi" w:cs="Times New Roman"/>
          <w:sz w:val="18"/>
          <w:szCs w:val="18"/>
        </w:rPr>
        <w:t xml:space="preserve">Příloha č. </w:t>
      </w:r>
      <w:proofErr w:type="gramStart"/>
      <w:r>
        <w:rPr>
          <w:rFonts w:asciiTheme="minorHAnsi" w:eastAsia="Times New Roman" w:hAnsiTheme="minorHAnsi" w:cs="Times New Roman"/>
          <w:sz w:val="18"/>
          <w:szCs w:val="18"/>
        </w:rPr>
        <w:t>4d</w:t>
      </w:r>
      <w:proofErr w:type="gramEnd"/>
      <w:r>
        <w:rPr>
          <w:rFonts w:asciiTheme="minorHAnsi" w:eastAsia="Times New Roman" w:hAnsiTheme="minorHAnsi" w:cs="Times New Roman"/>
          <w:sz w:val="18"/>
          <w:szCs w:val="18"/>
        </w:rPr>
        <w:t xml:space="preserve"> tohoto Metodického pokynu, je prezenční listina, kterou využije Vzdělávací pracoviště pro KA realizované na základě Rozhodnutí o poskytnutí dotace v rámci Programu specializačního vzdělávání v oboru dětská neurologie, Výzva k předkládání žádosti o dotaci v tomto Programu byla vyhlášena dne 19. 2. 2020.</w:t>
      </w:r>
    </w:p>
  </w:footnote>
  <w:footnote w:id="27">
    <w:p w14:paraId="0ADBD7AB" w14:textId="7A5CEF92" w:rsidR="00110E3C" w:rsidRDefault="00110E3C">
      <w:pPr>
        <w:spacing w:after="40" w:line="240" w:lineRule="auto"/>
        <w:jc w:val="both"/>
      </w:pPr>
      <w:r>
        <w:rPr>
          <w:rFonts w:asciiTheme="minorHAnsi" w:hAnsiTheme="minorHAnsi"/>
          <w:sz w:val="18"/>
          <w:szCs w:val="18"/>
          <w:vertAlign w:val="superscript"/>
        </w:rPr>
        <w:footnoteRef/>
      </w:r>
      <w:r>
        <w:rPr>
          <w:rFonts w:asciiTheme="minorHAnsi" w:eastAsia="Times New Roman" w:hAnsiTheme="minorHAnsi" w:cs="Times New Roman"/>
          <w:sz w:val="18"/>
          <w:szCs w:val="18"/>
          <w:vertAlign w:val="superscript"/>
        </w:rPr>
        <w:t xml:space="preserve"> </w:t>
      </w:r>
      <w:r>
        <w:rPr>
          <w:rFonts w:asciiTheme="minorHAnsi" w:eastAsia="Times New Roman" w:hAnsiTheme="minorHAnsi" w:cs="Times New Roman"/>
          <w:sz w:val="18"/>
          <w:szCs w:val="18"/>
        </w:rPr>
        <w:t>Délka se vyjadřuje v celých hodinách jakožto jednotkách času o délce 60 minut. Do doby vzdělávání nelze řadit přestávku na jídlo a oddech ve smyslu § 88 Zákoníku práce.</w:t>
      </w:r>
    </w:p>
  </w:footnote>
  <w:footnote w:id="28">
    <w:p w14:paraId="6861F69A" w14:textId="0C92E704" w:rsidR="00110E3C" w:rsidRDefault="00110E3C">
      <w:pPr>
        <w:pStyle w:val="Textpoznpodarou"/>
      </w:pPr>
      <w:r>
        <w:rPr>
          <w:rStyle w:val="Znakapoznpodarou"/>
          <w:rFonts w:asciiTheme="minorHAnsi" w:hAnsiTheme="minorHAnsi"/>
          <w:sz w:val="18"/>
          <w:szCs w:val="18"/>
        </w:rPr>
        <w:footnoteRef/>
      </w:r>
      <w:r>
        <w:rPr>
          <w:rFonts w:asciiTheme="minorHAnsi" w:hAnsiTheme="minorHAnsi"/>
          <w:sz w:val="18"/>
          <w:szCs w:val="18"/>
        </w:rPr>
        <w:t xml:space="preserve"> </w:t>
      </w:r>
      <w:r>
        <w:rPr>
          <w:rFonts w:asciiTheme="minorHAnsi" w:hAnsiTheme="minorHAnsi"/>
          <w:sz w:val="18"/>
          <w:szCs w:val="18"/>
          <w:lang w:val="cs-CZ"/>
        </w:rPr>
        <w:t xml:space="preserve">Viz část IV., bod </w:t>
      </w:r>
      <w:proofErr w:type="gramStart"/>
      <w:r>
        <w:rPr>
          <w:rFonts w:asciiTheme="minorHAnsi" w:hAnsiTheme="minorHAnsi"/>
          <w:sz w:val="18"/>
          <w:szCs w:val="18"/>
          <w:lang w:val="cs-CZ"/>
        </w:rPr>
        <w:t>2a</w:t>
      </w:r>
      <w:proofErr w:type="gramEnd"/>
      <w:r>
        <w:rPr>
          <w:rFonts w:asciiTheme="minorHAnsi" w:hAnsiTheme="minorHAnsi"/>
          <w:sz w:val="18"/>
          <w:szCs w:val="18"/>
          <w:lang w:val="cs-CZ"/>
        </w:rPr>
        <w:t xml:space="preserve"> tohoto Metodického pokynu.</w:t>
      </w:r>
    </w:p>
  </w:footnote>
  <w:footnote w:id="29">
    <w:p w14:paraId="113E6018" w14:textId="29F8E75A" w:rsidR="00110E3C" w:rsidRDefault="00110E3C">
      <w:pPr>
        <w:pStyle w:val="Textpoznpodarou"/>
      </w:pPr>
      <w:r>
        <w:rPr>
          <w:rStyle w:val="Znakapoznpodarou"/>
          <w:rFonts w:asciiTheme="minorHAnsi" w:hAnsiTheme="minorHAnsi"/>
          <w:sz w:val="18"/>
          <w:szCs w:val="18"/>
        </w:rPr>
        <w:footnoteRef/>
      </w:r>
      <w:r>
        <w:rPr>
          <w:rFonts w:asciiTheme="minorHAnsi" w:hAnsiTheme="minorHAnsi"/>
          <w:sz w:val="18"/>
          <w:szCs w:val="18"/>
        </w:rPr>
        <w:t xml:space="preserve"> </w:t>
      </w:r>
      <w:r>
        <w:rPr>
          <w:rFonts w:asciiTheme="minorHAnsi" w:hAnsiTheme="minorHAnsi"/>
          <w:sz w:val="18"/>
          <w:szCs w:val="18"/>
          <w:lang w:val="cs-CZ"/>
        </w:rPr>
        <w:t xml:space="preserve">Viz část IV., bod </w:t>
      </w:r>
      <w:proofErr w:type="gramStart"/>
      <w:r>
        <w:rPr>
          <w:rFonts w:asciiTheme="minorHAnsi" w:hAnsiTheme="minorHAnsi"/>
          <w:sz w:val="18"/>
          <w:szCs w:val="18"/>
          <w:lang w:val="cs-CZ"/>
        </w:rPr>
        <w:t>2b</w:t>
      </w:r>
      <w:proofErr w:type="gramEnd"/>
      <w:r>
        <w:rPr>
          <w:rFonts w:asciiTheme="minorHAnsi" w:hAnsiTheme="minorHAnsi"/>
          <w:sz w:val="18"/>
          <w:szCs w:val="18"/>
          <w:lang w:val="cs-CZ"/>
        </w:rPr>
        <w:t xml:space="preserve"> tohoto Metodického pokynu.</w:t>
      </w:r>
    </w:p>
  </w:footnote>
  <w:footnote w:id="30">
    <w:p w14:paraId="20F92CA5" w14:textId="6F982138" w:rsidR="00110E3C" w:rsidRDefault="00110E3C">
      <w:pPr>
        <w:pStyle w:val="Textpoznpodarou"/>
      </w:pPr>
      <w:r>
        <w:rPr>
          <w:rStyle w:val="Znakapoznpodarou"/>
          <w:rFonts w:asciiTheme="minorHAnsi" w:hAnsiTheme="minorHAnsi"/>
          <w:sz w:val="18"/>
          <w:szCs w:val="18"/>
        </w:rPr>
        <w:footnoteRef/>
      </w:r>
      <w:r>
        <w:rPr>
          <w:rFonts w:asciiTheme="minorHAnsi" w:hAnsiTheme="minorHAnsi"/>
          <w:sz w:val="18"/>
          <w:szCs w:val="18"/>
        </w:rPr>
        <w:t xml:space="preserve"> </w:t>
      </w:r>
      <w:r>
        <w:rPr>
          <w:rFonts w:asciiTheme="minorHAnsi" w:hAnsiTheme="minorHAnsi"/>
          <w:sz w:val="18"/>
          <w:szCs w:val="18"/>
          <w:lang w:val="cs-CZ"/>
        </w:rPr>
        <w:t xml:space="preserve">Viz část IV., bod </w:t>
      </w:r>
      <w:proofErr w:type="gramStart"/>
      <w:r>
        <w:rPr>
          <w:rFonts w:asciiTheme="minorHAnsi" w:hAnsiTheme="minorHAnsi"/>
          <w:sz w:val="18"/>
          <w:szCs w:val="18"/>
          <w:lang w:val="cs-CZ"/>
        </w:rPr>
        <w:t>3a</w:t>
      </w:r>
      <w:proofErr w:type="gramEnd"/>
      <w:r>
        <w:rPr>
          <w:rFonts w:asciiTheme="minorHAnsi" w:hAnsiTheme="minorHAnsi"/>
          <w:sz w:val="18"/>
          <w:szCs w:val="18"/>
          <w:lang w:val="cs-CZ"/>
        </w:rPr>
        <w:t xml:space="preserve"> tohoto Metodického pokynu.</w:t>
      </w:r>
    </w:p>
  </w:footnote>
  <w:footnote w:id="31">
    <w:p w14:paraId="12328B10" w14:textId="549D1754" w:rsidR="00110E3C" w:rsidRDefault="00110E3C">
      <w:pPr>
        <w:pStyle w:val="Textpoznpodarou"/>
      </w:pPr>
      <w:r>
        <w:rPr>
          <w:rStyle w:val="Znakapoznpodarou"/>
          <w:rFonts w:asciiTheme="minorHAnsi" w:hAnsiTheme="minorHAnsi"/>
          <w:sz w:val="18"/>
          <w:szCs w:val="18"/>
        </w:rPr>
        <w:footnoteRef/>
      </w:r>
      <w:r>
        <w:rPr>
          <w:rFonts w:asciiTheme="minorHAnsi" w:hAnsiTheme="minorHAnsi"/>
          <w:sz w:val="18"/>
          <w:szCs w:val="18"/>
        </w:rPr>
        <w:t xml:space="preserve"> </w:t>
      </w:r>
      <w:r>
        <w:rPr>
          <w:rFonts w:asciiTheme="minorHAnsi" w:hAnsiTheme="minorHAnsi"/>
          <w:sz w:val="18"/>
          <w:szCs w:val="18"/>
          <w:lang w:val="cs-CZ"/>
        </w:rPr>
        <w:t xml:space="preserve">Viz část IV., bod </w:t>
      </w:r>
      <w:proofErr w:type="gramStart"/>
      <w:r>
        <w:rPr>
          <w:rFonts w:asciiTheme="minorHAnsi" w:hAnsiTheme="minorHAnsi"/>
          <w:sz w:val="18"/>
          <w:szCs w:val="18"/>
          <w:lang w:val="cs-CZ"/>
        </w:rPr>
        <w:t>3b</w:t>
      </w:r>
      <w:proofErr w:type="gramEnd"/>
      <w:r>
        <w:rPr>
          <w:rFonts w:asciiTheme="minorHAnsi" w:hAnsiTheme="minorHAnsi"/>
          <w:sz w:val="18"/>
          <w:szCs w:val="18"/>
          <w:lang w:val="cs-CZ"/>
        </w:rPr>
        <w:t xml:space="preserve"> tohoto Metodického pokynu.</w:t>
      </w:r>
    </w:p>
  </w:footnote>
  <w:footnote w:id="32">
    <w:p w14:paraId="62A4FE65" w14:textId="4A131F9E" w:rsidR="00110E3C" w:rsidRPr="009F1E6F" w:rsidRDefault="00110E3C" w:rsidP="00E44DD3">
      <w:pPr>
        <w:pStyle w:val="Odstavecseseznamem"/>
        <w:pBdr>
          <w:top w:val="nil"/>
          <w:left w:val="nil"/>
          <w:bottom w:val="nil"/>
          <w:right w:val="nil"/>
          <w:between w:val="nil"/>
        </w:pBdr>
        <w:spacing w:after="200"/>
        <w:ind w:left="0"/>
        <w:contextualSpacing w:val="0"/>
        <w:jc w:val="both"/>
        <w:rPr>
          <w:rFonts w:asciiTheme="minorHAnsi" w:hAnsiTheme="minorHAnsi"/>
          <w:sz w:val="18"/>
          <w:szCs w:val="18"/>
          <w:lang w:val="cs-CZ"/>
        </w:rPr>
      </w:pPr>
      <w:r w:rsidRPr="006F133D">
        <w:rPr>
          <w:rStyle w:val="Znakapoznpodarou"/>
          <w:rFonts w:asciiTheme="minorHAnsi" w:hAnsiTheme="minorHAnsi"/>
          <w:sz w:val="18"/>
          <w:szCs w:val="18"/>
        </w:rPr>
        <w:footnoteRef/>
      </w:r>
      <w:r>
        <w:t xml:space="preserve"> </w:t>
      </w:r>
      <w:r w:rsidRPr="009F1E6F">
        <w:rPr>
          <w:rFonts w:asciiTheme="minorHAnsi" w:hAnsiTheme="minorHAnsi"/>
          <w:sz w:val="18"/>
          <w:szCs w:val="18"/>
          <w:lang w:val="cs-CZ"/>
        </w:rPr>
        <w:t xml:space="preserve">Výkazy účasti / pracovní výkazy vyhotovují účastníci. (Originály má Zaměstnavatel nebo Vzdělávací pracoviště). Výkaz účasti musí obsahovat: </w:t>
      </w:r>
      <w:r>
        <w:rPr>
          <w:rFonts w:asciiTheme="minorHAnsi" w:hAnsiTheme="minorHAnsi"/>
          <w:sz w:val="18"/>
          <w:szCs w:val="18"/>
          <w:lang w:val="cs-CZ"/>
        </w:rPr>
        <w:t>označení Projektu</w:t>
      </w:r>
      <w:r w:rsidRPr="009F1E6F">
        <w:rPr>
          <w:rFonts w:asciiTheme="minorHAnsi" w:hAnsiTheme="minorHAnsi"/>
          <w:sz w:val="18"/>
          <w:szCs w:val="18"/>
          <w:lang w:val="cs-CZ"/>
        </w:rPr>
        <w:t>, jméno a příjmení účastníka, povinnou publicitu; datum (příp. den v</w:t>
      </w:r>
      <w:r>
        <w:rPr>
          <w:rFonts w:asciiTheme="minorHAnsi" w:hAnsiTheme="minorHAnsi"/>
          <w:sz w:val="18"/>
          <w:szCs w:val="18"/>
          <w:lang w:val="cs-CZ"/>
        </w:rPr>
        <w:t> </w:t>
      </w:r>
      <w:r w:rsidRPr="009F1E6F">
        <w:rPr>
          <w:rFonts w:asciiTheme="minorHAnsi" w:hAnsiTheme="minorHAnsi"/>
          <w:sz w:val="18"/>
          <w:szCs w:val="18"/>
          <w:lang w:val="cs-CZ"/>
        </w:rPr>
        <w:t xml:space="preserve">měsíci a vykazovaný měsíc a rok), název/zkratku KA a počet hodin této KA; prohlášení, datum a podpis účastníka projektu a zároveň i datum a podpis osoby oprávněné potvrdit správnost údajů. </w:t>
      </w:r>
    </w:p>
    <w:p w14:paraId="6EC04A3F" w14:textId="77777777" w:rsidR="00110E3C" w:rsidRPr="009F1E6F" w:rsidRDefault="00110E3C" w:rsidP="00E44DD3">
      <w:pPr>
        <w:pStyle w:val="Textpoznpodarou"/>
        <w:rPr>
          <w:lang w:val="cs-CZ"/>
        </w:rPr>
      </w:pPr>
    </w:p>
  </w:footnote>
  <w:footnote w:id="33">
    <w:p w14:paraId="380DA57A" w14:textId="2994CEA7" w:rsidR="00110E3C" w:rsidRDefault="00110E3C">
      <w:pPr>
        <w:spacing w:after="40" w:line="240" w:lineRule="auto"/>
        <w:jc w:val="both"/>
      </w:pPr>
      <w:r>
        <w:rPr>
          <w:rFonts w:asciiTheme="minorHAnsi" w:hAnsiTheme="minorHAnsi"/>
          <w:sz w:val="18"/>
          <w:szCs w:val="18"/>
          <w:vertAlign w:val="superscript"/>
        </w:rPr>
        <w:footnoteRef/>
      </w:r>
      <w:r>
        <w:rPr>
          <w:rFonts w:asciiTheme="minorHAnsi" w:eastAsia="Times New Roman" w:hAnsiTheme="minorHAnsi" w:cs="Times New Roman"/>
          <w:sz w:val="18"/>
          <w:szCs w:val="18"/>
        </w:rPr>
        <w:t xml:space="preserve"> Není tedy možné vytisknout barevný plakát na černobílé tiskárně. Ani není možné vytisknout jednobarevnou černobílou verzi plakátu na tiskárně, černobílá verze plakátu je zakázaná.</w:t>
      </w:r>
    </w:p>
  </w:footnote>
  <w:footnote w:id="34">
    <w:p w14:paraId="7E9209CA" w14:textId="4CC8AE0A" w:rsidR="00110E3C" w:rsidRDefault="00110E3C">
      <w:pPr>
        <w:spacing w:after="40" w:line="240" w:lineRule="auto"/>
        <w:jc w:val="both"/>
      </w:pPr>
      <w:r>
        <w:rPr>
          <w:rFonts w:asciiTheme="minorHAnsi" w:hAnsiTheme="minorHAnsi"/>
          <w:sz w:val="18"/>
          <w:szCs w:val="18"/>
          <w:vertAlign w:val="superscript"/>
        </w:rPr>
        <w:footnoteRef/>
      </w:r>
      <w:r>
        <w:rPr>
          <w:rFonts w:asciiTheme="minorHAnsi" w:eastAsia="Times New Roman" w:hAnsiTheme="minorHAnsi" w:cs="Times New Roman"/>
          <w:sz w:val="18"/>
          <w:szCs w:val="18"/>
        </w:rPr>
        <w:t xml:space="preserve"> Plakát uvedený v příloze tohoto Metodického pokynu již vychází z elektronické šablony, která je k dispozici na portálu </w:t>
      </w:r>
      <w:hyperlink r:id="rId2">
        <w:r>
          <w:rPr>
            <w:rStyle w:val="Internetovodkaz"/>
            <w:rFonts w:asciiTheme="minorHAnsi" w:eastAsia="Times New Roman" w:hAnsiTheme="minorHAnsi" w:cs="Times New Roman"/>
            <w:webHidden/>
            <w:color w:val="0070C0"/>
            <w:sz w:val="18"/>
            <w:szCs w:val="18"/>
          </w:rPr>
          <w:t>www.esfcr.cz</w:t>
        </w:r>
      </w:hyperlink>
      <w:r>
        <w:rPr>
          <w:rFonts w:asciiTheme="minorHAnsi" w:eastAsia="Times New Roman" w:hAnsiTheme="minorHAnsi" w:cs="Times New Roman"/>
          <w:sz w:val="18"/>
          <w:szCs w:val="18"/>
        </w:rPr>
        <w:t>.</w:t>
      </w:r>
    </w:p>
  </w:footnote>
  <w:footnote w:id="35">
    <w:p w14:paraId="438E8DBB" w14:textId="49C99983" w:rsidR="00110E3C" w:rsidRDefault="00110E3C">
      <w:pPr>
        <w:spacing w:after="40" w:line="240" w:lineRule="auto"/>
        <w:jc w:val="both"/>
      </w:pPr>
      <w:r>
        <w:rPr>
          <w:rFonts w:asciiTheme="minorHAnsi" w:hAnsiTheme="minorHAnsi"/>
          <w:sz w:val="18"/>
          <w:szCs w:val="18"/>
          <w:vertAlign w:val="superscript"/>
        </w:rPr>
        <w:footnoteRef/>
      </w:r>
      <w:r>
        <w:rPr>
          <w:rFonts w:asciiTheme="minorHAnsi" w:eastAsia="Times New Roman" w:hAnsiTheme="minorHAnsi" w:cs="Times New Roman"/>
          <w:sz w:val="18"/>
          <w:szCs w:val="18"/>
          <w:vertAlign w:val="superscript"/>
        </w:rPr>
        <w:t xml:space="preserve"> </w:t>
      </w:r>
      <w:r>
        <w:rPr>
          <w:rFonts w:asciiTheme="minorHAnsi" w:eastAsia="Times New Roman" w:hAnsiTheme="minorHAnsi" w:cs="Times New Roman"/>
          <w:sz w:val="18"/>
          <w:szCs w:val="18"/>
        </w:rPr>
        <w:t xml:space="preserve">Vizuální identita OPZ nemusí být použita na certifikátech, interních dokumentech, smlouvách či účetních dokladech. </w:t>
      </w:r>
    </w:p>
  </w:footnote>
  <w:footnote w:id="36">
    <w:p w14:paraId="4EE028CF" w14:textId="65E08C22" w:rsidR="00110E3C" w:rsidRDefault="00110E3C">
      <w:pPr>
        <w:spacing w:after="40" w:line="240" w:lineRule="auto"/>
        <w:jc w:val="both"/>
      </w:pPr>
      <w:r>
        <w:rPr>
          <w:rFonts w:asciiTheme="minorHAnsi" w:hAnsiTheme="minorHAnsi"/>
          <w:sz w:val="18"/>
          <w:szCs w:val="18"/>
          <w:vertAlign w:val="superscript"/>
        </w:rPr>
        <w:footnoteRef/>
      </w:r>
      <w:r>
        <w:rPr>
          <w:rFonts w:asciiTheme="minorHAnsi" w:hAnsiTheme="minorHAnsi"/>
          <w:sz w:val="18"/>
          <w:szCs w:val="18"/>
          <w:vertAlign w:val="superscript"/>
        </w:rPr>
        <w:t xml:space="preserve"> </w:t>
      </w:r>
      <w:r>
        <w:rPr>
          <w:rFonts w:asciiTheme="minorHAnsi" w:eastAsia="Times New Roman" w:hAnsiTheme="minorHAnsi" w:cs="Times New Roman"/>
          <w:sz w:val="18"/>
          <w:szCs w:val="18"/>
        </w:rPr>
        <w:t>Označení se nevztahuje na prostory, ve kterých probíhá odborná praxe.</w:t>
      </w:r>
    </w:p>
  </w:footnote>
  <w:footnote w:id="37">
    <w:p w14:paraId="088A59EE" w14:textId="726CDAED" w:rsidR="00110E3C" w:rsidRDefault="00110E3C">
      <w:pPr>
        <w:pStyle w:val="Textpoznpodarou"/>
        <w:jc w:val="both"/>
      </w:pPr>
      <w:r>
        <w:rPr>
          <w:rStyle w:val="Znakapoznpodarou"/>
          <w:rFonts w:asciiTheme="minorHAnsi" w:hAnsiTheme="minorHAnsi"/>
          <w:sz w:val="18"/>
          <w:szCs w:val="18"/>
        </w:rPr>
        <w:footnoteRef/>
      </w:r>
      <w:r>
        <w:rPr>
          <w:rFonts w:asciiTheme="minorHAnsi" w:hAnsiTheme="minorHAnsi"/>
          <w:sz w:val="18"/>
          <w:szCs w:val="18"/>
        </w:rPr>
        <w:t xml:space="preserve"> Znak EU existuje ve dvou variantách – barevné a černobílé. Na internetových stránkách a na povinných plakátech je třeba zobrazovat a používat jeho barevné provedení (není tedy možné pro prezentační účely vytisknout na černobílé tiskárně barevné zobrazení znaku EU). </w:t>
      </w:r>
      <w:r w:rsidRPr="006F133D">
        <w:rPr>
          <w:rFonts w:asciiTheme="minorHAnsi" w:hAnsiTheme="minorHAnsi"/>
          <w:sz w:val="18"/>
          <w:szCs w:val="18"/>
        </w:rPr>
        <w:t>Pořízení černobílé kopie barevného originálu pro interní pracovní potřebu se za nedodržení pravidel publicity nepovažuje.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7E72A" w14:textId="77777777" w:rsidR="00110E3C" w:rsidRDefault="00110E3C">
    <w:pPr>
      <w:tabs>
        <w:tab w:val="left" w:pos="7455"/>
      </w:tabs>
      <w:spacing w:line="240" w:lineRule="auto"/>
      <w:rPr>
        <w:color w:val="000000"/>
      </w:rPr>
    </w:pPr>
    <w:r>
      <w:rPr>
        <w:noProof/>
        <w:lang w:val="cs-CZ"/>
      </w:rPr>
      <w:drawing>
        <wp:anchor distT="0" distB="0" distL="114300" distR="114300" simplePos="0" relativeHeight="29" behindDoc="1" locked="0" layoutInCell="1" allowOverlap="1" wp14:anchorId="190FCE4E" wp14:editId="0E6A4B46">
          <wp:simplePos x="0" y="0"/>
          <wp:positionH relativeFrom="column">
            <wp:posOffset>4566285</wp:posOffset>
          </wp:positionH>
          <wp:positionV relativeFrom="paragraph">
            <wp:posOffset>-141605</wp:posOffset>
          </wp:positionV>
          <wp:extent cx="1374775" cy="557530"/>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1374775" cy="557530"/>
                  </a:xfrm>
                  <a:prstGeom prst="rect">
                    <a:avLst/>
                  </a:prstGeom>
                </pic:spPr>
              </pic:pic>
            </a:graphicData>
          </a:graphic>
        </wp:anchor>
      </w:drawing>
    </w:r>
    <w:r>
      <w:rPr>
        <w:noProof/>
        <w:lang w:val="cs-CZ"/>
      </w:rPr>
      <w:drawing>
        <wp:anchor distT="0" distB="8255" distL="114300" distR="114300" simplePos="0" relativeHeight="57" behindDoc="1" locked="0" layoutInCell="1" allowOverlap="1" wp14:anchorId="1ED6741B" wp14:editId="2430E1B6">
          <wp:simplePos x="0" y="0"/>
          <wp:positionH relativeFrom="column">
            <wp:posOffset>0</wp:posOffset>
          </wp:positionH>
          <wp:positionV relativeFrom="paragraph">
            <wp:posOffset>-57150</wp:posOffset>
          </wp:positionV>
          <wp:extent cx="2275205" cy="467995"/>
          <wp:effectExtent l="0" t="0" r="0" b="0"/>
          <wp:wrapNone/>
          <wp:docPr id="2"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1"/>
                  <pic:cNvPicPr>
                    <a:picLocks noChangeAspect="1" noChangeArrowheads="1"/>
                  </pic:cNvPicPr>
                </pic:nvPicPr>
                <pic:blipFill>
                  <a:blip r:embed="rId2"/>
                  <a:stretch>
                    <a:fillRect/>
                  </a:stretch>
                </pic:blipFill>
                <pic:spPr bwMode="auto">
                  <a:xfrm>
                    <a:off x="0" y="0"/>
                    <a:ext cx="2275205" cy="467995"/>
                  </a:xfrm>
                  <a:prstGeom prst="rect">
                    <a:avLst/>
                  </a:prstGeom>
                </pic:spPr>
              </pic:pic>
            </a:graphicData>
          </a:graphic>
        </wp:anchor>
      </w:drawing>
    </w:r>
    <w:r>
      <w:rPr>
        <w:color w:val="000000"/>
      </w:rPr>
      <w:tab/>
    </w:r>
  </w:p>
  <w:p w14:paraId="76CC1AA9" w14:textId="77777777" w:rsidR="00110E3C" w:rsidRDefault="00110E3C">
    <w:pPr>
      <w:tabs>
        <w:tab w:val="left" w:pos="7455"/>
      </w:tabs>
      <w:spacing w:line="240" w:lineRule="auto"/>
      <w:rPr>
        <w:color w:val="000000"/>
      </w:rPr>
    </w:pPr>
  </w:p>
  <w:p w14:paraId="0F27AE86" w14:textId="77777777" w:rsidR="00110E3C" w:rsidRDefault="00110E3C">
    <w:pPr>
      <w:tabs>
        <w:tab w:val="left" w:pos="7455"/>
      </w:tabs>
      <w:spacing w:line="240" w:lineRule="auto"/>
      <w:rPr>
        <w:color w:val="000000"/>
      </w:rPr>
    </w:pPr>
  </w:p>
  <w:p w14:paraId="005EF82A" w14:textId="77777777" w:rsidR="00110E3C" w:rsidRDefault="00110E3C">
    <w:pPr>
      <w:tabs>
        <w:tab w:val="left" w:pos="7455"/>
      </w:tabs>
      <w:spacing w:line="240" w:lineRule="auto"/>
      <w:rPr>
        <w:color w:val="000000"/>
      </w:rPr>
    </w:pPr>
  </w:p>
  <w:p w14:paraId="5663208C" w14:textId="77777777" w:rsidR="00110E3C" w:rsidRDefault="00110E3C">
    <w:pPr>
      <w:tabs>
        <w:tab w:val="left" w:pos="7455"/>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ED2"/>
    <w:multiLevelType w:val="multilevel"/>
    <w:tmpl w:val="7F544B8A"/>
    <w:lvl w:ilvl="0">
      <w:start w:val="1"/>
      <w:numFmt w:val="decimal"/>
      <w:lvlText w:val="%1)"/>
      <w:lvlJc w:val="left"/>
      <w:pPr>
        <w:ind w:left="720" w:hanging="360"/>
      </w:pPr>
      <w:rPr>
        <w:sz w:val="40"/>
        <w:u w:val="none"/>
      </w:rPr>
    </w:lvl>
    <w:lvl w:ilvl="1">
      <w:start w:val="1"/>
      <w:numFmt w:val="lowerLetter"/>
      <w:lvlText w:val="%2)"/>
      <w:lvlJc w:val="left"/>
      <w:pPr>
        <w:ind w:left="1440" w:hanging="360"/>
      </w:pPr>
      <w:rPr>
        <w:sz w:val="40"/>
        <w:u w:val="none"/>
      </w:rPr>
    </w:lvl>
    <w:lvl w:ilvl="2">
      <w:start w:val="1"/>
      <w:numFmt w:val="lowerRoman"/>
      <w:lvlText w:val="%3)"/>
      <w:lvlJc w:val="right"/>
      <w:pPr>
        <w:ind w:left="2160" w:hanging="360"/>
      </w:pPr>
      <w:rPr>
        <w:sz w:val="40"/>
        <w:u w:val="none"/>
      </w:rPr>
    </w:lvl>
    <w:lvl w:ilvl="3">
      <w:start w:val="1"/>
      <w:numFmt w:val="decimal"/>
      <w:lvlText w:val="(%4)"/>
      <w:lvlJc w:val="left"/>
      <w:pPr>
        <w:ind w:left="2880" w:hanging="360"/>
      </w:pPr>
      <w:rPr>
        <w:sz w:val="40"/>
        <w:u w:val="none"/>
      </w:rPr>
    </w:lvl>
    <w:lvl w:ilvl="4">
      <w:start w:val="1"/>
      <w:numFmt w:val="lowerLetter"/>
      <w:lvlText w:val="(%5)"/>
      <w:lvlJc w:val="left"/>
      <w:pPr>
        <w:ind w:left="3600" w:hanging="360"/>
      </w:pPr>
      <w:rPr>
        <w:sz w:val="40"/>
        <w:u w:val="none"/>
      </w:rPr>
    </w:lvl>
    <w:lvl w:ilvl="5">
      <w:start w:val="1"/>
      <w:numFmt w:val="lowerRoman"/>
      <w:lvlText w:val="(%6)"/>
      <w:lvlJc w:val="right"/>
      <w:pPr>
        <w:ind w:left="4320" w:hanging="360"/>
      </w:pPr>
      <w:rPr>
        <w:sz w:val="40"/>
        <w:u w:val="none"/>
      </w:rPr>
    </w:lvl>
    <w:lvl w:ilvl="6">
      <w:start w:val="1"/>
      <w:numFmt w:val="decimal"/>
      <w:lvlText w:val="%7."/>
      <w:lvlJc w:val="left"/>
      <w:pPr>
        <w:ind w:left="5040" w:hanging="360"/>
      </w:pPr>
      <w:rPr>
        <w:sz w:val="40"/>
        <w:u w:val="none"/>
      </w:rPr>
    </w:lvl>
    <w:lvl w:ilvl="7">
      <w:start w:val="1"/>
      <w:numFmt w:val="lowerLetter"/>
      <w:lvlText w:val="%8."/>
      <w:lvlJc w:val="left"/>
      <w:pPr>
        <w:ind w:left="5760" w:hanging="360"/>
      </w:pPr>
      <w:rPr>
        <w:sz w:val="40"/>
        <w:u w:val="none"/>
      </w:rPr>
    </w:lvl>
    <w:lvl w:ilvl="8">
      <w:start w:val="1"/>
      <w:numFmt w:val="lowerRoman"/>
      <w:lvlText w:val="%9."/>
      <w:lvlJc w:val="right"/>
      <w:pPr>
        <w:ind w:left="6480" w:hanging="360"/>
      </w:pPr>
      <w:rPr>
        <w:sz w:val="40"/>
        <w:u w:val="none"/>
      </w:rPr>
    </w:lvl>
  </w:abstractNum>
  <w:abstractNum w:abstractNumId="1" w15:restartNumberingAfterBreak="0">
    <w:nsid w:val="01EE4110"/>
    <w:multiLevelType w:val="hybridMultilevel"/>
    <w:tmpl w:val="8272C0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984C92"/>
    <w:multiLevelType w:val="multilevel"/>
    <w:tmpl w:val="98AA1B5E"/>
    <w:lvl w:ilvl="0">
      <w:start w:val="1"/>
      <w:numFmt w:val="lowerLetter"/>
      <w:lvlText w:val="%1)"/>
      <w:lvlJc w:val="left"/>
      <w:pPr>
        <w:ind w:left="928" w:hanging="360"/>
      </w:pPr>
      <w:rPr>
        <w:sz w:val="22"/>
        <w:szCs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11E94B06"/>
    <w:multiLevelType w:val="multilevel"/>
    <w:tmpl w:val="E03294F6"/>
    <w:lvl w:ilvl="0">
      <w:start w:val="1"/>
      <w:numFmt w:val="lowerRoman"/>
      <w:lvlText w:val="%1."/>
      <w:lvlJc w:val="righ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4" w15:restartNumberingAfterBreak="0">
    <w:nsid w:val="148858EF"/>
    <w:multiLevelType w:val="multilevel"/>
    <w:tmpl w:val="303CD7BC"/>
    <w:lvl w:ilvl="0">
      <w:start w:val="5"/>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4EB3DFD"/>
    <w:multiLevelType w:val="multilevel"/>
    <w:tmpl w:val="AF4463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2E0480"/>
    <w:multiLevelType w:val="multilevel"/>
    <w:tmpl w:val="87A07A38"/>
    <w:lvl w:ilvl="0">
      <w:start w:val="1"/>
      <w:numFmt w:val="decimal"/>
      <w:lvlText w:val="%1)"/>
      <w:lvlJc w:val="left"/>
      <w:pPr>
        <w:ind w:left="3260" w:hanging="360"/>
      </w:pPr>
    </w:lvl>
    <w:lvl w:ilvl="1">
      <w:start w:val="1"/>
      <w:numFmt w:val="bullet"/>
      <w:lvlText w:val=""/>
      <w:lvlJc w:val="left"/>
      <w:pPr>
        <w:ind w:left="3980" w:hanging="360"/>
      </w:pPr>
      <w:rPr>
        <w:rFonts w:ascii="Wingdings 2" w:hAnsi="Wingdings 2" w:cs="Wingdings 2" w:hint="default"/>
      </w:rPr>
    </w:lvl>
    <w:lvl w:ilvl="2">
      <w:start w:val="1"/>
      <w:numFmt w:val="lowerRoman"/>
      <w:lvlText w:val="%3."/>
      <w:lvlJc w:val="right"/>
      <w:pPr>
        <w:ind w:left="4700" w:hanging="180"/>
      </w:pPr>
    </w:lvl>
    <w:lvl w:ilvl="3">
      <w:start w:val="1"/>
      <w:numFmt w:val="lowerLetter"/>
      <w:lvlText w:val="%4."/>
      <w:lvlJc w:val="left"/>
      <w:pPr>
        <w:ind w:left="5420" w:hanging="360"/>
      </w:pPr>
    </w:lvl>
    <w:lvl w:ilvl="4">
      <w:start w:val="1"/>
      <w:numFmt w:val="lowerLetter"/>
      <w:lvlText w:val="%5."/>
      <w:lvlJc w:val="left"/>
      <w:pPr>
        <w:ind w:left="6140" w:hanging="360"/>
      </w:pPr>
    </w:lvl>
    <w:lvl w:ilvl="5">
      <w:start w:val="1"/>
      <w:numFmt w:val="lowerRoman"/>
      <w:lvlText w:val="%6."/>
      <w:lvlJc w:val="right"/>
      <w:pPr>
        <w:ind w:left="6860" w:hanging="180"/>
      </w:pPr>
    </w:lvl>
    <w:lvl w:ilvl="6">
      <w:start w:val="1"/>
      <w:numFmt w:val="decimal"/>
      <w:lvlText w:val="%7."/>
      <w:lvlJc w:val="left"/>
      <w:pPr>
        <w:ind w:left="7580" w:hanging="360"/>
      </w:pPr>
    </w:lvl>
    <w:lvl w:ilvl="7">
      <w:start w:val="1"/>
      <w:numFmt w:val="lowerLetter"/>
      <w:lvlText w:val="%8."/>
      <w:lvlJc w:val="left"/>
      <w:pPr>
        <w:ind w:left="8300" w:hanging="360"/>
      </w:pPr>
    </w:lvl>
    <w:lvl w:ilvl="8">
      <w:start w:val="1"/>
      <w:numFmt w:val="lowerRoman"/>
      <w:lvlText w:val="%9."/>
      <w:lvlJc w:val="right"/>
      <w:pPr>
        <w:ind w:left="9020" w:hanging="180"/>
      </w:pPr>
    </w:lvl>
  </w:abstractNum>
  <w:abstractNum w:abstractNumId="7" w15:restartNumberingAfterBreak="0">
    <w:nsid w:val="1A016021"/>
    <w:multiLevelType w:val="multilevel"/>
    <w:tmpl w:val="279ACD4E"/>
    <w:lvl w:ilvl="0">
      <w:start w:val="1"/>
      <w:numFmt w:val="upperLetter"/>
      <w:lvlText w:val="%1."/>
      <w:lvlJc w:val="left"/>
      <w:pPr>
        <w:ind w:left="5039" w:hanging="360"/>
      </w:pPr>
      <w:rPr>
        <w:b/>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1440" w:hanging="360"/>
      </w:pPr>
    </w:lvl>
    <w:lvl w:ilvl="2">
      <w:start w:val="1"/>
      <w:numFmt w:val="decimal"/>
      <w:lvlText w:val="%3)"/>
      <w:lvlJc w:val="left"/>
      <w:pPr>
        <w:ind w:left="2415" w:hanging="43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F52C32"/>
    <w:multiLevelType w:val="multilevel"/>
    <w:tmpl w:val="8BDA8D8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E26119"/>
    <w:multiLevelType w:val="multilevel"/>
    <w:tmpl w:val="78AAB22C"/>
    <w:lvl w:ilvl="0">
      <w:start w:val="1"/>
      <w:numFmt w:val="lowerLetter"/>
      <w:lvlText w:val="%1)"/>
      <w:lvlJc w:val="left"/>
      <w:pPr>
        <w:ind w:left="1440" w:hanging="360"/>
      </w:pPr>
      <w:rPr>
        <w:sz w:val="40"/>
        <w:u w:val="none"/>
      </w:rPr>
    </w:lvl>
    <w:lvl w:ilvl="1">
      <w:start w:val="1"/>
      <w:numFmt w:val="bullet"/>
      <w:lvlText w:val=""/>
      <w:lvlJc w:val="left"/>
      <w:pPr>
        <w:ind w:left="2160" w:hanging="360"/>
      </w:pPr>
      <w:rPr>
        <w:rFonts w:ascii="Wingdings 2" w:hAnsi="Wingdings 2" w:cs="Wingdings 2" w:hint="default"/>
        <w:sz w:val="40"/>
        <w:u w:val="none"/>
      </w:rPr>
    </w:lvl>
    <w:lvl w:ilvl="2">
      <w:start w:val="1"/>
      <w:numFmt w:val="bullet"/>
      <w:lvlText w:val="■"/>
      <w:lvlJc w:val="left"/>
      <w:pPr>
        <w:ind w:left="2880" w:hanging="360"/>
      </w:pPr>
      <w:rPr>
        <w:rFonts w:ascii="OpenSymbol" w:hAnsi="OpenSymbol" w:cs="OpenSymbol" w:hint="default"/>
        <w:sz w:val="40"/>
        <w:u w:val="none"/>
      </w:rPr>
    </w:lvl>
    <w:lvl w:ilvl="3">
      <w:start w:val="1"/>
      <w:numFmt w:val="bullet"/>
      <w:lvlText w:val=""/>
      <w:lvlJc w:val="left"/>
      <w:pPr>
        <w:ind w:left="3600" w:hanging="360"/>
      </w:pPr>
      <w:rPr>
        <w:rFonts w:ascii="Wingdings" w:hAnsi="Wingdings" w:cs="Wingdings" w:hint="default"/>
        <w:sz w:val="40"/>
        <w:u w:val="none"/>
      </w:rPr>
    </w:lvl>
    <w:lvl w:ilvl="4">
      <w:start w:val="1"/>
      <w:numFmt w:val="bullet"/>
      <w:lvlText w:val=""/>
      <w:lvlJc w:val="left"/>
      <w:pPr>
        <w:ind w:left="4320" w:hanging="360"/>
      </w:pPr>
      <w:rPr>
        <w:rFonts w:ascii="Wingdings 2" w:hAnsi="Wingdings 2" w:cs="Wingdings 2" w:hint="default"/>
        <w:sz w:val="40"/>
        <w:u w:val="none"/>
      </w:rPr>
    </w:lvl>
    <w:lvl w:ilvl="5">
      <w:start w:val="1"/>
      <w:numFmt w:val="bullet"/>
      <w:lvlText w:val="■"/>
      <w:lvlJc w:val="left"/>
      <w:pPr>
        <w:ind w:left="5040" w:hanging="360"/>
      </w:pPr>
      <w:rPr>
        <w:rFonts w:ascii="OpenSymbol" w:hAnsi="OpenSymbol" w:cs="OpenSymbol" w:hint="default"/>
        <w:sz w:val="40"/>
        <w:u w:val="none"/>
      </w:rPr>
    </w:lvl>
    <w:lvl w:ilvl="6">
      <w:start w:val="1"/>
      <w:numFmt w:val="bullet"/>
      <w:lvlText w:val=""/>
      <w:lvlJc w:val="left"/>
      <w:pPr>
        <w:ind w:left="5760" w:hanging="360"/>
      </w:pPr>
      <w:rPr>
        <w:rFonts w:ascii="Wingdings" w:hAnsi="Wingdings" w:cs="Wingdings" w:hint="default"/>
        <w:sz w:val="40"/>
        <w:u w:val="none"/>
      </w:rPr>
    </w:lvl>
    <w:lvl w:ilvl="7">
      <w:start w:val="1"/>
      <w:numFmt w:val="bullet"/>
      <w:lvlText w:val=""/>
      <w:lvlJc w:val="left"/>
      <w:pPr>
        <w:ind w:left="6480" w:hanging="360"/>
      </w:pPr>
      <w:rPr>
        <w:rFonts w:ascii="Wingdings 2" w:hAnsi="Wingdings 2" w:cs="Wingdings 2" w:hint="default"/>
        <w:sz w:val="40"/>
        <w:u w:val="none"/>
      </w:rPr>
    </w:lvl>
    <w:lvl w:ilvl="8">
      <w:start w:val="1"/>
      <w:numFmt w:val="bullet"/>
      <w:lvlText w:val="■"/>
      <w:lvlJc w:val="left"/>
      <w:pPr>
        <w:ind w:left="7200" w:hanging="360"/>
      </w:pPr>
      <w:rPr>
        <w:rFonts w:ascii="OpenSymbol" w:hAnsi="OpenSymbol" w:cs="OpenSymbol" w:hint="default"/>
        <w:sz w:val="40"/>
        <w:u w:val="none"/>
      </w:rPr>
    </w:lvl>
  </w:abstractNum>
  <w:abstractNum w:abstractNumId="10" w15:restartNumberingAfterBreak="0">
    <w:nsid w:val="2474266C"/>
    <w:multiLevelType w:val="multilevel"/>
    <w:tmpl w:val="5BA897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444B03"/>
    <w:multiLevelType w:val="multilevel"/>
    <w:tmpl w:val="DE3428FA"/>
    <w:lvl w:ilvl="0">
      <w:start w:val="1"/>
      <w:numFmt w:val="upperLetter"/>
      <w:lvlText w:val="%1."/>
      <w:lvlJc w:val="left"/>
      <w:pPr>
        <w:ind w:left="5039" w:hanging="360"/>
      </w:pPr>
      <w:rPr>
        <w:b/>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1440" w:hanging="360"/>
      </w:pPr>
    </w:lvl>
    <w:lvl w:ilvl="2">
      <w:start w:val="1"/>
      <w:numFmt w:val="decimal"/>
      <w:lvlText w:val="%3)"/>
      <w:lvlJc w:val="left"/>
      <w:pPr>
        <w:ind w:left="2415" w:hanging="43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2E29F5"/>
    <w:multiLevelType w:val="multilevel"/>
    <w:tmpl w:val="9092C480"/>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3" w15:restartNumberingAfterBreak="0">
    <w:nsid w:val="308C216E"/>
    <w:multiLevelType w:val="multilevel"/>
    <w:tmpl w:val="54EA020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333D58A8"/>
    <w:multiLevelType w:val="multilevel"/>
    <w:tmpl w:val="E03294F6"/>
    <w:lvl w:ilvl="0">
      <w:start w:val="1"/>
      <w:numFmt w:val="lowerRoman"/>
      <w:lvlText w:val="%1."/>
      <w:lvlJc w:val="righ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15" w15:restartNumberingAfterBreak="0">
    <w:nsid w:val="33736DB4"/>
    <w:multiLevelType w:val="multilevel"/>
    <w:tmpl w:val="BA9473B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6" w15:restartNumberingAfterBreak="0">
    <w:nsid w:val="35082F4C"/>
    <w:multiLevelType w:val="multilevel"/>
    <w:tmpl w:val="86FCF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4134EF"/>
    <w:multiLevelType w:val="multilevel"/>
    <w:tmpl w:val="F496E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580A91"/>
    <w:multiLevelType w:val="multilevel"/>
    <w:tmpl w:val="21CA9ED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3E126853"/>
    <w:multiLevelType w:val="multilevel"/>
    <w:tmpl w:val="1AAEC360"/>
    <w:lvl w:ilvl="0">
      <w:start w:val="1"/>
      <w:numFmt w:val="lowerLetter"/>
      <w:lvlText w:val="%1)"/>
      <w:lvlJc w:val="left"/>
      <w:pPr>
        <w:ind w:left="1440" w:hanging="360"/>
      </w:pPr>
      <w:rPr>
        <w:rFonts w:hint="default"/>
        <w:sz w:val="22"/>
        <w:szCs w:val="22"/>
        <w:u w:val="none"/>
      </w:rPr>
    </w:lvl>
    <w:lvl w:ilvl="1">
      <w:start w:val="1"/>
      <w:numFmt w:val="bullet"/>
      <w:lvlText w:val=""/>
      <w:lvlJc w:val="left"/>
      <w:pPr>
        <w:ind w:left="2160" w:hanging="360"/>
      </w:pPr>
      <w:rPr>
        <w:rFonts w:ascii="Wingdings 2" w:hAnsi="Wingdings 2" w:cs="Wingdings 2" w:hint="default"/>
        <w:sz w:val="40"/>
        <w:u w:val="none"/>
      </w:rPr>
    </w:lvl>
    <w:lvl w:ilvl="2">
      <w:start w:val="1"/>
      <w:numFmt w:val="bullet"/>
      <w:lvlText w:val="■"/>
      <w:lvlJc w:val="left"/>
      <w:pPr>
        <w:ind w:left="2880" w:hanging="360"/>
      </w:pPr>
      <w:rPr>
        <w:rFonts w:ascii="OpenSymbol" w:hAnsi="OpenSymbol" w:cs="OpenSymbol" w:hint="default"/>
        <w:sz w:val="40"/>
        <w:u w:val="none"/>
      </w:rPr>
    </w:lvl>
    <w:lvl w:ilvl="3">
      <w:start w:val="1"/>
      <w:numFmt w:val="bullet"/>
      <w:lvlText w:val=""/>
      <w:lvlJc w:val="left"/>
      <w:pPr>
        <w:ind w:left="3600" w:hanging="360"/>
      </w:pPr>
      <w:rPr>
        <w:rFonts w:ascii="Wingdings" w:hAnsi="Wingdings" w:cs="Wingdings" w:hint="default"/>
        <w:sz w:val="40"/>
        <w:u w:val="none"/>
      </w:rPr>
    </w:lvl>
    <w:lvl w:ilvl="4">
      <w:start w:val="1"/>
      <w:numFmt w:val="bullet"/>
      <w:lvlText w:val=""/>
      <w:lvlJc w:val="left"/>
      <w:pPr>
        <w:ind w:left="4320" w:hanging="360"/>
      </w:pPr>
      <w:rPr>
        <w:rFonts w:ascii="Wingdings 2" w:hAnsi="Wingdings 2" w:cs="Wingdings 2" w:hint="default"/>
        <w:sz w:val="40"/>
        <w:u w:val="none"/>
      </w:rPr>
    </w:lvl>
    <w:lvl w:ilvl="5">
      <w:start w:val="1"/>
      <w:numFmt w:val="bullet"/>
      <w:lvlText w:val="■"/>
      <w:lvlJc w:val="left"/>
      <w:pPr>
        <w:ind w:left="5040" w:hanging="360"/>
      </w:pPr>
      <w:rPr>
        <w:rFonts w:ascii="OpenSymbol" w:hAnsi="OpenSymbol" w:cs="OpenSymbol" w:hint="default"/>
        <w:sz w:val="40"/>
        <w:u w:val="none"/>
      </w:rPr>
    </w:lvl>
    <w:lvl w:ilvl="6">
      <w:start w:val="1"/>
      <w:numFmt w:val="bullet"/>
      <w:lvlText w:val=""/>
      <w:lvlJc w:val="left"/>
      <w:pPr>
        <w:ind w:left="5760" w:hanging="360"/>
      </w:pPr>
      <w:rPr>
        <w:rFonts w:ascii="Wingdings" w:hAnsi="Wingdings" w:cs="Wingdings" w:hint="default"/>
        <w:sz w:val="40"/>
        <w:u w:val="none"/>
      </w:rPr>
    </w:lvl>
    <w:lvl w:ilvl="7">
      <w:start w:val="1"/>
      <w:numFmt w:val="bullet"/>
      <w:lvlText w:val=""/>
      <w:lvlJc w:val="left"/>
      <w:pPr>
        <w:ind w:left="6480" w:hanging="360"/>
      </w:pPr>
      <w:rPr>
        <w:rFonts w:ascii="Wingdings 2" w:hAnsi="Wingdings 2" w:cs="Wingdings 2" w:hint="default"/>
        <w:sz w:val="40"/>
        <w:u w:val="none"/>
      </w:rPr>
    </w:lvl>
    <w:lvl w:ilvl="8">
      <w:start w:val="1"/>
      <w:numFmt w:val="bullet"/>
      <w:lvlText w:val="■"/>
      <w:lvlJc w:val="left"/>
      <w:pPr>
        <w:ind w:left="7200" w:hanging="360"/>
      </w:pPr>
      <w:rPr>
        <w:rFonts w:ascii="OpenSymbol" w:hAnsi="OpenSymbol" w:cs="OpenSymbol" w:hint="default"/>
        <w:sz w:val="40"/>
        <w:u w:val="none"/>
      </w:rPr>
    </w:lvl>
  </w:abstractNum>
  <w:abstractNum w:abstractNumId="20" w15:restartNumberingAfterBreak="0">
    <w:nsid w:val="3EE3584C"/>
    <w:multiLevelType w:val="multilevel"/>
    <w:tmpl w:val="2DBA96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F322C8"/>
    <w:multiLevelType w:val="multilevel"/>
    <w:tmpl w:val="F30EFC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EF505FF"/>
    <w:multiLevelType w:val="hybridMultilevel"/>
    <w:tmpl w:val="C5A62468"/>
    <w:lvl w:ilvl="0" w:tplc="166ED366">
      <w:start w:val="1"/>
      <w:numFmt w:val="decimal"/>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F0E3DC9"/>
    <w:multiLevelType w:val="multilevel"/>
    <w:tmpl w:val="23D885AA"/>
    <w:lvl w:ilvl="0">
      <w:start w:val="1"/>
      <w:numFmt w:val="decimal"/>
      <w:lvlText w:val="%1)"/>
      <w:lvlJc w:val="left"/>
      <w:pPr>
        <w:ind w:left="720" w:hanging="360"/>
      </w:pPr>
      <w:rPr>
        <w:sz w:val="40"/>
        <w:u w:val="none"/>
      </w:rPr>
    </w:lvl>
    <w:lvl w:ilvl="1">
      <w:start w:val="1"/>
      <w:numFmt w:val="lowerLetter"/>
      <w:lvlText w:val="%2)"/>
      <w:lvlJc w:val="left"/>
      <w:pPr>
        <w:ind w:left="1440" w:hanging="360"/>
      </w:pPr>
      <w:rPr>
        <w:sz w:val="40"/>
        <w:u w:val="none"/>
      </w:rPr>
    </w:lvl>
    <w:lvl w:ilvl="2">
      <w:start w:val="1"/>
      <w:numFmt w:val="lowerRoman"/>
      <w:lvlText w:val="%3)"/>
      <w:lvlJc w:val="right"/>
      <w:pPr>
        <w:ind w:left="2160" w:hanging="360"/>
      </w:pPr>
      <w:rPr>
        <w:sz w:val="40"/>
        <w:u w:val="none"/>
      </w:rPr>
    </w:lvl>
    <w:lvl w:ilvl="3">
      <w:start w:val="1"/>
      <w:numFmt w:val="decimal"/>
      <w:lvlText w:val="(%4)"/>
      <w:lvlJc w:val="left"/>
      <w:pPr>
        <w:ind w:left="2880" w:hanging="360"/>
      </w:pPr>
      <w:rPr>
        <w:sz w:val="40"/>
        <w:u w:val="none"/>
      </w:rPr>
    </w:lvl>
    <w:lvl w:ilvl="4">
      <w:start w:val="1"/>
      <w:numFmt w:val="lowerLetter"/>
      <w:lvlText w:val="(%5)"/>
      <w:lvlJc w:val="left"/>
      <w:pPr>
        <w:ind w:left="3600" w:hanging="360"/>
      </w:pPr>
      <w:rPr>
        <w:sz w:val="40"/>
        <w:u w:val="none"/>
      </w:rPr>
    </w:lvl>
    <w:lvl w:ilvl="5">
      <w:start w:val="1"/>
      <w:numFmt w:val="lowerRoman"/>
      <w:lvlText w:val="(%6)"/>
      <w:lvlJc w:val="right"/>
      <w:pPr>
        <w:ind w:left="4320" w:hanging="360"/>
      </w:pPr>
      <w:rPr>
        <w:sz w:val="40"/>
        <w:u w:val="none"/>
      </w:rPr>
    </w:lvl>
    <w:lvl w:ilvl="6">
      <w:start w:val="1"/>
      <w:numFmt w:val="decimal"/>
      <w:lvlText w:val="%7."/>
      <w:lvlJc w:val="left"/>
      <w:pPr>
        <w:ind w:left="5040" w:hanging="360"/>
      </w:pPr>
      <w:rPr>
        <w:sz w:val="40"/>
        <w:u w:val="none"/>
      </w:rPr>
    </w:lvl>
    <w:lvl w:ilvl="7">
      <w:start w:val="1"/>
      <w:numFmt w:val="lowerLetter"/>
      <w:lvlText w:val="%8."/>
      <w:lvlJc w:val="left"/>
      <w:pPr>
        <w:ind w:left="5760" w:hanging="360"/>
      </w:pPr>
      <w:rPr>
        <w:sz w:val="40"/>
        <w:u w:val="none"/>
      </w:rPr>
    </w:lvl>
    <w:lvl w:ilvl="8">
      <w:start w:val="1"/>
      <w:numFmt w:val="lowerRoman"/>
      <w:lvlText w:val="%9."/>
      <w:lvlJc w:val="right"/>
      <w:pPr>
        <w:ind w:left="6480" w:hanging="360"/>
      </w:pPr>
      <w:rPr>
        <w:sz w:val="40"/>
        <w:u w:val="none"/>
      </w:rPr>
    </w:lvl>
  </w:abstractNum>
  <w:abstractNum w:abstractNumId="24" w15:restartNumberingAfterBreak="0">
    <w:nsid w:val="48D31686"/>
    <w:multiLevelType w:val="multilevel"/>
    <w:tmpl w:val="6FC091CC"/>
    <w:lvl w:ilvl="0">
      <w:start w:val="1"/>
      <w:numFmt w:val="lowerLetter"/>
      <w:lvlText w:val="%1)"/>
      <w:lvlJc w:val="left"/>
      <w:pPr>
        <w:ind w:left="1440" w:hanging="360"/>
      </w:pPr>
      <w:rPr>
        <w:sz w:val="40"/>
        <w:u w:val="none"/>
      </w:rPr>
    </w:lvl>
    <w:lvl w:ilvl="1">
      <w:start w:val="1"/>
      <w:numFmt w:val="bullet"/>
      <w:lvlText w:val=""/>
      <w:lvlJc w:val="left"/>
      <w:pPr>
        <w:ind w:left="2160" w:hanging="360"/>
      </w:pPr>
      <w:rPr>
        <w:rFonts w:ascii="Wingdings 2" w:hAnsi="Wingdings 2" w:cs="Wingdings 2" w:hint="default"/>
        <w:sz w:val="40"/>
        <w:u w:val="none"/>
      </w:rPr>
    </w:lvl>
    <w:lvl w:ilvl="2">
      <w:start w:val="1"/>
      <w:numFmt w:val="bullet"/>
      <w:lvlText w:val="■"/>
      <w:lvlJc w:val="left"/>
      <w:pPr>
        <w:ind w:left="2880" w:hanging="360"/>
      </w:pPr>
      <w:rPr>
        <w:rFonts w:ascii="OpenSymbol" w:hAnsi="OpenSymbol" w:cs="OpenSymbol" w:hint="default"/>
        <w:sz w:val="40"/>
        <w:u w:val="none"/>
      </w:rPr>
    </w:lvl>
    <w:lvl w:ilvl="3">
      <w:start w:val="1"/>
      <w:numFmt w:val="bullet"/>
      <w:lvlText w:val=""/>
      <w:lvlJc w:val="left"/>
      <w:pPr>
        <w:ind w:left="3600" w:hanging="360"/>
      </w:pPr>
      <w:rPr>
        <w:rFonts w:ascii="Wingdings" w:hAnsi="Wingdings" w:cs="Wingdings" w:hint="default"/>
        <w:sz w:val="40"/>
        <w:u w:val="none"/>
      </w:rPr>
    </w:lvl>
    <w:lvl w:ilvl="4">
      <w:start w:val="1"/>
      <w:numFmt w:val="bullet"/>
      <w:lvlText w:val=""/>
      <w:lvlJc w:val="left"/>
      <w:pPr>
        <w:ind w:left="4320" w:hanging="360"/>
      </w:pPr>
      <w:rPr>
        <w:rFonts w:ascii="Wingdings 2" w:hAnsi="Wingdings 2" w:cs="Wingdings 2" w:hint="default"/>
        <w:sz w:val="40"/>
        <w:u w:val="none"/>
      </w:rPr>
    </w:lvl>
    <w:lvl w:ilvl="5">
      <w:start w:val="1"/>
      <w:numFmt w:val="bullet"/>
      <w:lvlText w:val="■"/>
      <w:lvlJc w:val="left"/>
      <w:pPr>
        <w:ind w:left="5040" w:hanging="360"/>
      </w:pPr>
      <w:rPr>
        <w:rFonts w:ascii="OpenSymbol" w:hAnsi="OpenSymbol" w:cs="OpenSymbol" w:hint="default"/>
        <w:sz w:val="40"/>
        <w:u w:val="none"/>
      </w:rPr>
    </w:lvl>
    <w:lvl w:ilvl="6">
      <w:start w:val="1"/>
      <w:numFmt w:val="bullet"/>
      <w:lvlText w:val=""/>
      <w:lvlJc w:val="left"/>
      <w:pPr>
        <w:ind w:left="5760" w:hanging="360"/>
      </w:pPr>
      <w:rPr>
        <w:rFonts w:ascii="Wingdings" w:hAnsi="Wingdings" w:cs="Wingdings" w:hint="default"/>
        <w:sz w:val="40"/>
        <w:u w:val="none"/>
      </w:rPr>
    </w:lvl>
    <w:lvl w:ilvl="7">
      <w:start w:val="1"/>
      <w:numFmt w:val="bullet"/>
      <w:lvlText w:val=""/>
      <w:lvlJc w:val="left"/>
      <w:pPr>
        <w:ind w:left="6480" w:hanging="360"/>
      </w:pPr>
      <w:rPr>
        <w:rFonts w:ascii="Wingdings 2" w:hAnsi="Wingdings 2" w:cs="Wingdings 2" w:hint="default"/>
        <w:sz w:val="40"/>
        <w:u w:val="none"/>
      </w:rPr>
    </w:lvl>
    <w:lvl w:ilvl="8">
      <w:start w:val="1"/>
      <w:numFmt w:val="bullet"/>
      <w:lvlText w:val="■"/>
      <w:lvlJc w:val="left"/>
      <w:pPr>
        <w:ind w:left="7200" w:hanging="360"/>
      </w:pPr>
      <w:rPr>
        <w:rFonts w:ascii="OpenSymbol" w:hAnsi="OpenSymbol" w:cs="OpenSymbol" w:hint="default"/>
        <w:sz w:val="40"/>
        <w:u w:val="none"/>
      </w:rPr>
    </w:lvl>
  </w:abstractNum>
  <w:abstractNum w:abstractNumId="25" w15:restartNumberingAfterBreak="0">
    <w:nsid w:val="4A44554C"/>
    <w:multiLevelType w:val="multilevel"/>
    <w:tmpl w:val="29085FFA"/>
    <w:lvl w:ilvl="0">
      <w:start w:val="3"/>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D667F3F"/>
    <w:multiLevelType w:val="multilevel"/>
    <w:tmpl w:val="B31A99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D23E34"/>
    <w:multiLevelType w:val="multilevel"/>
    <w:tmpl w:val="18A0279C"/>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28" w15:restartNumberingAfterBreak="0">
    <w:nsid w:val="51EB6298"/>
    <w:multiLevelType w:val="multilevel"/>
    <w:tmpl w:val="71B00B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431197B"/>
    <w:multiLevelType w:val="multilevel"/>
    <w:tmpl w:val="688C417A"/>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4A62774"/>
    <w:multiLevelType w:val="multilevel"/>
    <w:tmpl w:val="8D768ED0"/>
    <w:lvl w:ilvl="0">
      <w:start w:val="1"/>
      <w:numFmt w:val="lowerLetter"/>
      <w:lvlText w:val="%1)"/>
      <w:lvlJc w:val="left"/>
      <w:pPr>
        <w:ind w:left="786" w:hanging="360"/>
      </w:pPr>
      <w:rPr>
        <w:sz w:val="22"/>
        <w:szCs w:val="22"/>
        <w:u w:val="none"/>
      </w:rPr>
    </w:lvl>
    <w:lvl w:ilvl="1">
      <w:start w:val="1"/>
      <w:numFmt w:val="lowerRoman"/>
      <w:lvlText w:val="%2."/>
      <w:lvlJc w:val="right"/>
      <w:pPr>
        <w:ind w:left="1506" w:hanging="360"/>
      </w:pPr>
      <w:rPr>
        <w:sz w:val="40"/>
        <w:u w:val="none"/>
      </w:rPr>
    </w:lvl>
    <w:lvl w:ilvl="2">
      <w:start w:val="1"/>
      <w:numFmt w:val="decimal"/>
      <w:lvlText w:val="%3."/>
      <w:lvlJc w:val="left"/>
      <w:pPr>
        <w:ind w:left="2226" w:hanging="360"/>
      </w:pPr>
      <w:rPr>
        <w:sz w:val="40"/>
        <w:u w:val="none"/>
      </w:rPr>
    </w:lvl>
    <w:lvl w:ilvl="3">
      <w:start w:val="1"/>
      <w:numFmt w:val="lowerLetter"/>
      <w:lvlText w:val="%4."/>
      <w:lvlJc w:val="left"/>
      <w:pPr>
        <w:ind w:left="2946" w:hanging="360"/>
      </w:pPr>
      <w:rPr>
        <w:sz w:val="40"/>
        <w:u w:val="none"/>
      </w:rPr>
    </w:lvl>
    <w:lvl w:ilvl="4">
      <w:start w:val="1"/>
      <w:numFmt w:val="lowerRoman"/>
      <w:lvlText w:val="%5."/>
      <w:lvlJc w:val="right"/>
      <w:pPr>
        <w:ind w:left="3666" w:hanging="360"/>
      </w:pPr>
      <w:rPr>
        <w:sz w:val="40"/>
        <w:u w:val="none"/>
      </w:rPr>
    </w:lvl>
    <w:lvl w:ilvl="5">
      <w:start w:val="1"/>
      <w:numFmt w:val="decimal"/>
      <w:lvlText w:val="%6."/>
      <w:lvlJc w:val="left"/>
      <w:pPr>
        <w:ind w:left="4386" w:hanging="360"/>
      </w:pPr>
      <w:rPr>
        <w:sz w:val="40"/>
        <w:u w:val="none"/>
      </w:rPr>
    </w:lvl>
    <w:lvl w:ilvl="6">
      <w:start w:val="1"/>
      <w:numFmt w:val="lowerLetter"/>
      <w:lvlText w:val="%7."/>
      <w:lvlJc w:val="left"/>
      <w:pPr>
        <w:ind w:left="5106" w:hanging="360"/>
      </w:pPr>
      <w:rPr>
        <w:sz w:val="40"/>
        <w:u w:val="none"/>
      </w:rPr>
    </w:lvl>
    <w:lvl w:ilvl="7">
      <w:start w:val="1"/>
      <w:numFmt w:val="lowerRoman"/>
      <w:lvlText w:val="%8."/>
      <w:lvlJc w:val="right"/>
      <w:pPr>
        <w:ind w:left="5826" w:hanging="360"/>
      </w:pPr>
      <w:rPr>
        <w:sz w:val="40"/>
        <w:u w:val="none"/>
      </w:rPr>
    </w:lvl>
    <w:lvl w:ilvl="8">
      <w:start w:val="1"/>
      <w:numFmt w:val="decimal"/>
      <w:lvlText w:val="%9."/>
      <w:lvlJc w:val="left"/>
      <w:pPr>
        <w:ind w:left="6546" w:hanging="360"/>
      </w:pPr>
      <w:rPr>
        <w:sz w:val="40"/>
        <w:u w:val="none"/>
      </w:rPr>
    </w:lvl>
  </w:abstractNum>
  <w:abstractNum w:abstractNumId="31" w15:restartNumberingAfterBreak="0">
    <w:nsid w:val="5616644B"/>
    <w:multiLevelType w:val="multilevel"/>
    <w:tmpl w:val="BAB8AE8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9BA7A14"/>
    <w:multiLevelType w:val="multilevel"/>
    <w:tmpl w:val="8BDA8D8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3D6F30"/>
    <w:multiLevelType w:val="multilevel"/>
    <w:tmpl w:val="CC6E29CA"/>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610D7FCD"/>
    <w:multiLevelType w:val="multilevel"/>
    <w:tmpl w:val="3CAE4748"/>
    <w:lvl w:ilvl="0">
      <w:start w:val="1"/>
      <w:numFmt w:val="decimal"/>
      <w:lvlText w:val="%1)"/>
      <w:lvlJc w:val="left"/>
      <w:pPr>
        <w:ind w:left="234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73C341C"/>
    <w:multiLevelType w:val="multilevel"/>
    <w:tmpl w:val="F120E238"/>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6" w15:restartNumberingAfterBreak="0">
    <w:nsid w:val="694A7C0D"/>
    <w:multiLevelType w:val="multilevel"/>
    <w:tmpl w:val="76FAF52C"/>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sz w:val="22"/>
        <w:szCs w:val="22"/>
        <w:u w:val="none"/>
      </w:rPr>
    </w:lvl>
    <w:lvl w:ilvl="2">
      <w:start w:val="1"/>
      <w:numFmt w:val="lowerRoman"/>
      <w:lvlText w:val="%3)"/>
      <w:lvlJc w:val="right"/>
      <w:pPr>
        <w:ind w:left="2160" w:hanging="360"/>
      </w:pPr>
      <w:rPr>
        <w:sz w:val="40"/>
        <w:u w:val="none"/>
      </w:rPr>
    </w:lvl>
    <w:lvl w:ilvl="3">
      <w:start w:val="1"/>
      <w:numFmt w:val="decimal"/>
      <w:lvlText w:val="(%4)"/>
      <w:lvlJc w:val="left"/>
      <w:pPr>
        <w:ind w:left="2880" w:hanging="360"/>
      </w:pPr>
      <w:rPr>
        <w:sz w:val="40"/>
        <w:u w:val="none"/>
      </w:rPr>
    </w:lvl>
    <w:lvl w:ilvl="4">
      <w:start w:val="1"/>
      <w:numFmt w:val="lowerLetter"/>
      <w:lvlText w:val="(%5)"/>
      <w:lvlJc w:val="left"/>
      <w:pPr>
        <w:ind w:left="3600" w:hanging="360"/>
      </w:pPr>
      <w:rPr>
        <w:sz w:val="40"/>
        <w:u w:val="none"/>
      </w:rPr>
    </w:lvl>
    <w:lvl w:ilvl="5">
      <w:start w:val="1"/>
      <w:numFmt w:val="lowerRoman"/>
      <w:lvlText w:val="(%6)"/>
      <w:lvlJc w:val="right"/>
      <w:pPr>
        <w:ind w:left="4320" w:hanging="360"/>
      </w:pPr>
      <w:rPr>
        <w:sz w:val="40"/>
        <w:u w:val="none"/>
      </w:rPr>
    </w:lvl>
    <w:lvl w:ilvl="6">
      <w:start w:val="1"/>
      <w:numFmt w:val="decimal"/>
      <w:lvlText w:val="%7."/>
      <w:lvlJc w:val="left"/>
      <w:pPr>
        <w:ind w:left="5040" w:hanging="360"/>
      </w:pPr>
      <w:rPr>
        <w:sz w:val="40"/>
        <w:u w:val="none"/>
      </w:rPr>
    </w:lvl>
    <w:lvl w:ilvl="7">
      <w:start w:val="1"/>
      <w:numFmt w:val="lowerLetter"/>
      <w:lvlText w:val="%8."/>
      <w:lvlJc w:val="left"/>
      <w:pPr>
        <w:ind w:left="5760" w:hanging="360"/>
      </w:pPr>
      <w:rPr>
        <w:sz w:val="40"/>
        <w:u w:val="none"/>
      </w:rPr>
    </w:lvl>
    <w:lvl w:ilvl="8">
      <w:start w:val="1"/>
      <w:numFmt w:val="lowerRoman"/>
      <w:lvlText w:val="%9."/>
      <w:lvlJc w:val="right"/>
      <w:pPr>
        <w:ind w:left="6480" w:hanging="360"/>
      </w:pPr>
      <w:rPr>
        <w:sz w:val="40"/>
        <w:u w:val="none"/>
      </w:rPr>
    </w:lvl>
  </w:abstractNum>
  <w:abstractNum w:abstractNumId="37" w15:restartNumberingAfterBreak="0">
    <w:nsid w:val="69EC52F3"/>
    <w:multiLevelType w:val="multilevel"/>
    <w:tmpl w:val="080400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831520"/>
    <w:multiLevelType w:val="multilevel"/>
    <w:tmpl w:val="4F640F5E"/>
    <w:lvl w:ilvl="0">
      <w:start w:val="5"/>
      <w:numFmt w:val="upperRoman"/>
      <w:pStyle w:val="Nadpis1"/>
      <w:lvlText w:val="%1."/>
      <w:lvlJc w:val="left"/>
      <w:pPr>
        <w:ind w:left="720" w:hanging="72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9" w15:restartNumberingAfterBreak="0">
    <w:nsid w:val="6F4C7E14"/>
    <w:multiLevelType w:val="multilevel"/>
    <w:tmpl w:val="52087F04"/>
    <w:lvl w:ilvl="0">
      <w:start w:val="1"/>
      <w:numFmt w:val="lowerLetter"/>
      <w:lvlText w:val="%1)"/>
      <w:lvlJc w:val="left"/>
      <w:pPr>
        <w:ind w:left="720" w:hanging="360"/>
      </w:pPr>
      <w:rPr>
        <w:sz w:val="24"/>
        <w:szCs w:val="24"/>
        <w:u w:val="none"/>
      </w:rPr>
    </w:lvl>
    <w:lvl w:ilvl="1">
      <w:start w:val="1"/>
      <w:numFmt w:val="lowerLetter"/>
      <w:lvlText w:val="%2."/>
      <w:lvlJc w:val="left"/>
      <w:pPr>
        <w:ind w:left="1440" w:hanging="360"/>
      </w:pPr>
      <w:rPr>
        <w:sz w:val="40"/>
        <w:u w:val="none"/>
      </w:rPr>
    </w:lvl>
    <w:lvl w:ilvl="2">
      <w:start w:val="1"/>
      <w:numFmt w:val="lowerRoman"/>
      <w:lvlText w:val="%3."/>
      <w:lvlJc w:val="right"/>
      <w:pPr>
        <w:ind w:left="2160" w:hanging="360"/>
      </w:pPr>
      <w:rPr>
        <w:sz w:val="40"/>
        <w:u w:val="none"/>
      </w:rPr>
    </w:lvl>
    <w:lvl w:ilvl="3">
      <w:start w:val="1"/>
      <w:numFmt w:val="decimal"/>
      <w:lvlText w:val="%4."/>
      <w:lvlJc w:val="left"/>
      <w:pPr>
        <w:ind w:left="2880" w:hanging="360"/>
      </w:pPr>
      <w:rPr>
        <w:sz w:val="40"/>
        <w:u w:val="none"/>
      </w:rPr>
    </w:lvl>
    <w:lvl w:ilvl="4">
      <w:start w:val="1"/>
      <w:numFmt w:val="lowerLetter"/>
      <w:lvlText w:val="%5."/>
      <w:lvlJc w:val="left"/>
      <w:pPr>
        <w:ind w:left="3600" w:hanging="360"/>
      </w:pPr>
      <w:rPr>
        <w:sz w:val="40"/>
        <w:u w:val="none"/>
      </w:rPr>
    </w:lvl>
    <w:lvl w:ilvl="5">
      <w:start w:val="1"/>
      <w:numFmt w:val="lowerRoman"/>
      <w:lvlText w:val="%6."/>
      <w:lvlJc w:val="right"/>
      <w:pPr>
        <w:ind w:left="4320" w:hanging="360"/>
      </w:pPr>
      <w:rPr>
        <w:sz w:val="40"/>
        <w:u w:val="none"/>
      </w:rPr>
    </w:lvl>
    <w:lvl w:ilvl="6">
      <w:start w:val="1"/>
      <w:numFmt w:val="decimal"/>
      <w:lvlText w:val="%7."/>
      <w:lvlJc w:val="left"/>
      <w:pPr>
        <w:ind w:left="5040" w:hanging="360"/>
      </w:pPr>
      <w:rPr>
        <w:sz w:val="40"/>
        <w:u w:val="none"/>
      </w:rPr>
    </w:lvl>
    <w:lvl w:ilvl="7">
      <w:start w:val="1"/>
      <w:numFmt w:val="lowerLetter"/>
      <w:lvlText w:val="%8."/>
      <w:lvlJc w:val="left"/>
      <w:pPr>
        <w:ind w:left="5760" w:hanging="360"/>
      </w:pPr>
      <w:rPr>
        <w:sz w:val="40"/>
        <w:u w:val="none"/>
      </w:rPr>
    </w:lvl>
    <w:lvl w:ilvl="8">
      <w:start w:val="1"/>
      <w:numFmt w:val="lowerRoman"/>
      <w:lvlText w:val="%9."/>
      <w:lvlJc w:val="right"/>
      <w:pPr>
        <w:ind w:left="6480" w:hanging="360"/>
      </w:pPr>
      <w:rPr>
        <w:sz w:val="40"/>
        <w:u w:val="none"/>
      </w:rPr>
    </w:lvl>
  </w:abstractNum>
  <w:abstractNum w:abstractNumId="40" w15:restartNumberingAfterBreak="0">
    <w:nsid w:val="70577E93"/>
    <w:multiLevelType w:val="multilevel"/>
    <w:tmpl w:val="52C6051E"/>
    <w:lvl w:ilvl="0">
      <w:start w:val="2"/>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1" w15:restartNumberingAfterBreak="0">
    <w:nsid w:val="721B47FA"/>
    <w:multiLevelType w:val="multilevel"/>
    <w:tmpl w:val="EECA77D2"/>
    <w:lvl w:ilvl="0">
      <w:start w:val="1"/>
      <w:numFmt w:val="bullet"/>
      <w:lvlText w:val=""/>
      <w:lvlJc w:val="left"/>
      <w:pPr>
        <w:ind w:left="1440" w:hanging="360"/>
      </w:pPr>
      <w:rPr>
        <w:rFonts w:ascii="Symbol" w:hAnsi="Symbol" w:hint="default"/>
        <w:sz w:val="40"/>
        <w:u w:val="none"/>
      </w:rPr>
    </w:lvl>
    <w:lvl w:ilvl="1">
      <w:start w:val="1"/>
      <w:numFmt w:val="bullet"/>
      <w:lvlText w:val=""/>
      <w:lvlJc w:val="left"/>
      <w:pPr>
        <w:ind w:left="2160" w:hanging="360"/>
      </w:pPr>
      <w:rPr>
        <w:rFonts w:ascii="Wingdings 2" w:hAnsi="Wingdings 2" w:cs="Wingdings 2" w:hint="default"/>
        <w:sz w:val="40"/>
        <w:u w:val="none"/>
      </w:rPr>
    </w:lvl>
    <w:lvl w:ilvl="2">
      <w:start w:val="1"/>
      <w:numFmt w:val="bullet"/>
      <w:lvlText w:val="■"/>
      <w:lvlJc w:val="left"/>
      <w:pPr>
        <w:ind w:left="2880" w:hanging="360"/>
      </w:pPr>
      <w:rPr>
        <w:rFonts w:ascii="OpenSymbol" w:hAnsi="OpenSymbol" w:cs="OpenSymbol" w:hint="default"/>
        <w:sz w:val="40"/>
        <w:u w:val="none"/>
      </w:rPr>
    </w:lvl>
    <w:lvl w:ilvl="3">
      <w:start w:val="1"/>
      <w:numFmt w:val="bullet"/>
      <w:lvlText w:val=""/>
      <w:lvlJc w:val="left"/>
      <w:pPr>
        <w:ind w:left="3600" w:hanging="360"/>
      </w:pPr>
      <w:rPr>
        <w:rFonts w:ascii="Wingdings" w:hAnsi="Wingdings" w:cs="Wingdings" w:hint="default"/>
        <w:sz w:val="40"/>
        <w:u w:val="none"/>
      </w:rPr>
    </w:lvl>
    <w:lvl w:ilvl="4">
      <w:start w:val="1"/>
      <w:numFmt w:val="bullet"/>
      <w:lvlText w:val=""/>
      <w:lvlJc w:val="left"/>
      <w:pPr>
        <w:ind w:left="4320" w:hanging="360"/>
      </w:pPr>
      <w:rPr>
        <w:rFonts w:ascii="Wingdings 2" w:hAnsi="Wingdings 2" w:cs="Wingdings 2" w:hint="default"/>
        <w:sz w:val="40"/>
        <w:u w:val="none"/>
      </w:rPr>
    </w:lvl>
    <w:lvl w:ilvl="5">
      <w:start w:val="1"/>
      <w:numFmt w:val="bullet"/>
      <w:lvlText w:val="■"/>
      <w:lvlJc w:val="left"/>
      <w:pPr>
        <w:ind w:left="5040" w:hanging="360"/>
      </w:pPr>
      <w:rPr>
        <w:rFonts w:ascii="OpenSymbol" w:hAnsi="OpenSymbol" w:cs="OpenSymbol" w:hint="default"/>
        <w:sz w:val="40"/>
        <w:u w:val="none"/>
      </w:rPr>
    </w:lvl>
    <w:lvl w:ilvl="6">
      <w:start w:val="1"/>
      <w:numFmt w:val="bullet"/>
      <w:lvlText w:val=""/>
      <w:lvlJc w:val="left"/>
      <w:pPr>
        <w:ind w:left="5760" w:hanging="360"/>
      </w:pPr>
      <w:rPr>
        <w:rFonts w:ascii="Wingdings" w:hAnsi="Wingdings" w:cs="Wingdings" w:hint="default"/>
        <w:sz w:val="40"/>
        <w:u w:val="none"/>
      </w:rPr>
    </w:lvl>
    <w:lvl w:ilvl="7">
      <w:start w:val="1"/>
      <w:numFmt w:val="bullet"/>
      <w:lvlText w:val=""/>
      <w:lvlJc w:val="left"/>
      <w:pPr>
        <w:ind w:left="6480" w:hanging="360"/>
      </w:pPr>
      <w:rPr>
        <w:rFonts w:ascii="Wingdings 2" w:hAnsi="Wingdings 2" w:cs="Wingdings 2" w:hint="default"/>
        <w:sz w:val="40"/>
        <w:u w:val="none"/>
      </w:rPr>
    </w:lvl>
    <w:lvl w:ilvl="8">
      <w:start w:val="1"/>
      <w:numFmt w:val="bullet"/>
      <w:lvlText w:val="■"/>
      <w:lvlJc w:val="left"/>
      <w:pPr>
        <w:ind w:left="7200" w:hanging="360"/>
      </w:pPr>
      <w:rPr>
        <w:rFonts w:ascii="OpenSymbol" w:hAnsi="OpenSymbol" w:cs="OpenSymbol" w:hint="default"/>
        <w:sz w:val="40"/>
        <w:u w:val="none"/>
      </w:rPr>
    </w:lvl>
  </w:abstractNum>
  <w:abstractNum w:abstractNumId="42" w15:restartNumberingAfterBreak="0">
    <w:nsid w:val="736255E1"/>
    <w:multiLevelType w:val="multilevel"/>
    <w:tmpl w:val="B3B83C94"/>
    <w:lvl w:ilvl="0">
      <w:start w:val="1"/>
      <w:numFmt w:val="upperLetter"/>
      <w:lvlText w:val="%1."/>
      <w:lvlJc w:val="left"/>
      <w:pPr>
        <w:ind w:left="5039" w:hanging="360"/>
      </w:pPr>
      <w:rPr>
        <w:b/>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1440" w:hanging="360"/>
      </w:pPr>
    </w:lvl>
    <w:lvl w:ilvl="2">
      <w:start w:val="1"/>
      <w:numFmt w:val="decimal"/>
      <w:lvlText w:val="%3)"/>
      <w:lvlJc w:val="left"/>
      <w:pPr>
        <w:ind w:left="2415" w:hanging="43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A2632E"/>
    <w:multiLevelType w:val="multilevel"/>
    <w:tmpl w:val="525AB4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424DC5"/>
    <w:multiLevelType w:val="multilevel"/>
    <w:tmpl w:val="AD9CBD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E84396"/>
    <w:multiLevelType w:val="multilevel"/>
    <w:tmpl w:val="1CC64F8A"/>
    <w:lvl w:ilvl="0">
      <w:start w:val="1"/>
      <w:numFmt w:val="decimal"/>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46" w15:restartNumberingAfterBreak="0">
    <w:nsid w:val="7F3152A2"/>
    <w:multiLevelType w:val="multilevel"/>
    <w:tmpl w:val="8BDA8D8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40"/>
  </w:num>
  <w:num w:numId="3">
    <w:abstractNumId w:val="28"/>
  </w:num>
  <w:num w:numId="4">
    <w:abstractNumId w:val="0"/>
  </w:num>
  <w:num w:numId="5">
    <w:abstractNumId w:val="23"/>
  </w:num>
  <w:num w:numId="6">
    <w:abstractNumId w:val="6"/>
  </w:num>
  <w:num w:numId="7">
    <w:abstractNumId w:val="5"/>
  </w:num>
  <w:num w:numId="8">
    <w:abstractNumId w:val="7"/>
  </w:num>
  <w:num w:numId="9">
    <w:abstractNumId w:val="29"/>
  </w:num>
  <w:num w:numId="10">
    <w:abstractNumId w:val="11"/>
  </w:num>
  <w:num w:numId="11">
    <w:abstractNumId w:val="10"/>
  </w:num>
  <w:num w:numId="12">
    <w:abstractNumId w:val="18"/>
  </w:num>
  <w:num w:numId="13">
    <w:abstractNumId w:val="15"/>
  </w:num>
  <w:num w:numId="14">
    <w:abstractNumId w:val="27"/>
  </w:num>
  <w:num w:numId="15">
    <w:abstractNumId w:val="43"/>
  </w:num>
  <w:num w:numId="16">
    <w:abstractNumId w:val="14"/>
  </w:num>
  <w:num w:numId="17">
    <w:abstractNumId w:val="8"/>
  </w:num>
  <w:num w:numId="18">
    <w:abstractNumId w:val="39"/>
  </w:num>
  <w:num w:numId="19">
    <w:abstractNumId w:val="9"/>
  </w:num>
  <w:num w:numId="20">
    <w:abstractNumId w:val="42"/>
  </w:num>
  <w:num w:numId="21">
    <w:abstractNumId w:val="17"/>
  </w:num>
  <w:num w:numId="22">
    <w:abstractNumId w:val="44"/>
  </w:num>
  <w:num w:numId="23">
    <w:abstractNumId w:val="33"/>
  </w:num>
  <w:num w:numId="24">
    <w:abstractNumId w:val="25"/>
  </w:num>
  <w:num w:numId="25">
    <w:abstractNumId w:val="13"/>
  </w:num>
  <w:num w:numId="26">
    <w:abstractNumId w:val="20"/>
  </w:num>
  <w:num w:numId="27">
    <w:abstractNumId w:val="21"/>
  </w:num>
  <w:num w:numId="28">
    <w:abstractNumId w:val="30"/>
  </w:num>
  <w:num w:numId="29">
    <w:abstractNumId w:val="31"/>
  </w:num>
  <w:num w:numId="30">
    <w:abstractNumId w:val="4"/>
  </w:num>
  <w:num w:numId="31">
    <w:abstractNumId w:val="36"/>
  </w:num>
  <w:num w:numId="32">
    <w:abstractNumId w:val="16"/>
  </w:num>
  <w:num w:numId="33">
    <w:abstractNumId w:val="34"/>
  </w:num>
  <w:num w:numId="34">
    <w:abstractNumId w:val="2"/>
  </w:num>
  <w:num w:numId="35">
    <w:abstractNumId w:val="12"/>
  </w:num>
  <w:num w:numId="36">
    <w:abstractNumId w:val="37"/>
  </w:num>
  <w:num w:numId="37">
    <w:abstractNumId w:val="26"/>
  </w:num>
  <w:num w:numId="38">
    <w:abstractNumId w:val="32"/>
  </w:num>
  <w:num w:numId="39">
    <w:abstractNumId w:val="1"/>
  </w:num>
  <w:num w:numId="40">
    <w:abstractNumId w:val="3"/>
  </w:num>
  <w:num w:numId="41">
    <w:abstractNumId w:val="45"/>
  </w:num>
  <w:num w:numId="42">
    <w:abstractNumId w:val="46"/>
  </w:num>
  <w:num w:numId="43">
    <w:abstractNumId w:val="24"/>
  </w:num>
  <w:num w:numId="44">
    <w:abstractNumId w:val="41"/>
  </w:num>
  <w:num w:numId="45">
    <w:abstractNumId w:val="19"/>
  </w:num>
  <w:num w:numId="46">
    <w:abstractNumId w:val="22"/>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744"/>
    <w:rsid w:val="000904FF"/>
    <w:rsid w:val="000A2F4D"/>
    <w:rsid w:val="000A5D03"/>
    <w:rsid w:val="000C0E21"/>
    <w:rsid w:val="000F1DF1"/>
    <w:rsid w:val="00105FF6"/>
    <w:rsid w:val="00110E3C"/>
    <w:rsid w:val="00171611"/>
    <w:rsid w:val="001927AC"/>
    <w:rsid w:val="001B136C"/>
    <w:rsid w:val="00203892"/>
    <w:rsid w:val="00205440"/>
    <w:rsid w:val="002223D7"/>
    <w:rsid w:val="002230F4"/>
    <w:rsid w:val="002575BA"/>
    <w:rsid w:val="00263FBF"/>
    <w:rsid w:val="002A7CF4"/>
    <w:rsid w:val="002F4903"/>
    <w:rsid w:val="00301A21"/>
    <w:rsid w:val="003F066A"/>
    <w:rsid w:val="00435B87"/>
    <w:rsid w:val="00446A2F"/>
    <w:rsid w:val="00447CB5"/>
    <w:rsid w:val="00480DD9"/>
    <w:rsid w:val="00486972"/>
    <w:rsid w:val="004B147E"/>
    <w:rsid w:val="005235C7"/>
    <w:rsid w:val="00526CFD"/>
    <w:rsid w:val="00530CD5"/>
    <w:rsid w:val="005365DA"/>
    <w:rsid w:val="005B4CF4"/>
    <w:rsid w:val="00660F59"/>
    <w:rsid w:val="006742F3"/>
    <w:rsid w:val="006F133D"/>
    <w:rsid w:val="007211E8"/>
    <w:rsid w:val="00723F5A"/>
    <w:rsid w:val="007349A3"/>
    <w:rsid w:val="00754244"/>
    <w:rsid w:val="007546C0"/>
    <w:rsid w:val="00763C6B"/>
    <w:rsid w:val="00766B38"/>
    <w:rsid w:val="00783240"/>
    <w:rsid w:val="00797C71"/>
    <w:rsid w:val="007A0538"/>
    <w:rsid w:val="00831DC4"/>
    <w:rsid w:val="008E1A89"/>
    <w:rsid w:val="008E5C18"/>
    <w:rsid w:val="00914647"/>
    <w:rsid w:val="009160F6"/>
    <w:rsid w:val="0092085E"/>
    <w:rsid w:val="00942744"/>
    <w:rsid w:val="009523A0"/>
    <w:rsid w:val="009A7F4E"/>
    <w:rsid w:val="009B54BE"/>
    <w:rsid w:val="009F6EE4"/>
    <w:rsid w:val="00A03206"/>
    <w:rsid w:val="00A256C4"/>
    <w:rsid w:val="00A27881"/>
    <w:rsid w:val="00A37795"/>
    <w:rsid w:val="00A7416F"/>
    <w:rsid w:val="00AD151E"/>
    <w:rsid w:val="00B06267"/>
    <w:rsid w:val="00B342B1"/>
    <w:rsid w:val="00B77B8E"/>
    <w:rsid w:val="00B94BC5"/>
    <w:rsid w:val="00BD4FC3"/>
    <w:rsid w:val="00C6233E"/>
    <w:rsid w:val="00C7022D"/>
    <w:rsid w:val="00C944A3"/>
    <w:rsid w:val="00CD5B53"/>
    <w:rsid w:val="00D364E2"/>
    <w:rsid w:val="00DA02E5"/>
    <w:rsid w:val="00DF545A"/>
    <w:rsid w:val="00E06451"/>
    <w:rsid w:val="00E44DD3"/>
    <w:rsid w:val="00E6751B"/>
    <w:rsid w:val="00ED5B9F"/>
    <w:rsid w:val="00EE10CA"/>
    <w:rsid w:val="00F14894"/>
    <w:rsid w:val="00F24A5C"/>
    <w:rsid w:val="00F271EB"/>
    <w:rsid w:val="00F315FA"/>
    <w:rsid w:val="00F50186"/>
    <w:rsid w:val="00F536B0"/>
    <w:rsid w:val="00F66107"/>
    <w:rsid w:val="00FD5A75"/>
    <w:rsid w:val="00FE02F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3A4A"/>
  <w15:docId w15:val="{C9E7349C-B3A7-463A-9B05-7B32C7F1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qFormat/>
    <w:rsid w:val="00E8387D"/>
    <w:pPr>
      <w:keepNext/>
      <w:keepLines/>
      <w:numPr>
        <w:numId w:val="1"/>
      </w:numPr>
      <w:spacing w:after="200" w:line="240" w:lineRule="auto"/>
      <w:ind w:left="567" w:hanging="567"/>
      <w:jc w:val="center"/>
      <w:outlineLvl w:val="0"/>
    </w:pPr>
    <w:rPr>
      <w:rFonts w:asciiTheme="minorHAnsi" w:hAnsiTheme="minorHAnsi"/>
      <w:b/>
      <w:color w:val="0070C0"/>
      <w:sz w:val="32"/>
      <w:szCs w:val="32"/>
    </w:rPr>
  </w:style>
  <w:style w:type="paragraph" w:styleId="Nadpis2">
    <w:name w:val="heading 2"/>
    <w:basedOn w:val="Normln"/>
    <w:link w:val="Nadpis2Char"/>
    <w:pPr>
      <w:keepNext/>
      <w:keepLines/>
      <w:spacing w:before="360" w:after="120"/>
      <w:outlineLvl w:val="1"/>
    </w:pPr>
    <w:rPr>
      <w:sz w:val="32"/>
      <w:szCs w:val="32"/>
    </w:rPr>
  </w:style>
  <w:style w:type="paragraph" w:styleId="Nadpis3">
    <w:name w:val="heading 3"/>
    <w:basedOn w:val="Normln"/>
    <w:pPr>
      <w:keepNext/>
      <w:keepLines/>
      <w:spacing w:before="320" w:after="80"/>
      <w:outlineLvl w:val="2"/>
    </w:pPr>
    <w:rPr>
      <w:color w:val="434343"/>
      <w:sz w:val="28"/>
      <w:szCs w:val="28"/>
    </w:rPr>
  </w:style>
  <w:style w:type="paragraph" w:styleId="Nadpis4">
    <w:name w:val="heading 4"/>
    <w:basedOn w:val="Normln"/>
    <w:pPr>
      <w:keepNext/>
      <w:keepLines/>
      <w:spacing w:before="280" w:after="80"/>
      <w:outlineLvl w:val="3"/>
    </w:pPr>
    <w:rPr>
      <w:color w:val="666666"/>
      <w:sz w:val="24"/>
      <w:szCs w:val="24"/>
    </w:rPr>
  </w:style>
  <w:style w:type="paragraph" w:styleId="Nadpis5">
    <w:name w:val="heading 5"/>
    <w:basedOn w:val="Normln"/>
    <w:pPr>
      <w:keepNext/>
      <w:keepLines/>
      <w:spacing w:before="240" w:after="80"/>
      <w:outlineLvl w:val="4"/>
    </w:pPr>
    <w:rPr>
      <w:color w:val="666666"/>
    </w:rPr>
  </w:style>
  <w:style w:type="paragraph" w:styleId="Nadpis6">
    <w:name w:val="heading 6"/>
    <w:basedOn w:val="Normln"/>
    <w:pPr>
      <w:keepNext/>
      <w:keepLines/>
      <w:spacing w:before="240" w:after="80"/>
      <w:outlineLvl w:val="5"/>
    </w:pPr>
    <w:rPr>
      <w:i/>
      <w:color w:val="666666"/>
    </w:rPr>
  </w:style>
  <w:style w:type="paragraph" w:styleId="Nadpis7">
    <w:name w:val="heading 7"/>
    <w:basedOn w:val="Normln"/>
    <w:link w:val="Nadpis7Char"/>
    <w:uiPriority w:val="9"/>
    <w:unhideWhenUsed/>
    <w:qFormat/>
    <w:rsid w:val="00E832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basedOn w:val="Standardnpsmoodstavce"/>
    <w:link w:val="Textkomente"/>
    <w:uiPriority w:val="99"/>
    <w:semiHidden/>
    <w:qFormat/>
    <w:rPr>
      <w:sz w:val="20"/>
      <w:szCs w:val="20"/>
    </w:rPr>
  </w:style>
  <w:style w:type="character" w:styleId="Odkaznakoment">
    <w:name w:val="annotation reference"/>
    <w:basedOn w:val="Standardnpsmoodstavce"/>
    <w:uiPriority w:val="99"/>
    <w:semiHidden/>
    <w:unhideWhenUsed/>
    <w:qFormat/>
    <w:rPr>
      <w:sz w:val="16"/>
      <w:szCs w:val="16"/>
    </w:rPr>
  </w:style>
  <w:style w:type="character" w:customStyle="1" w:styleId="TextbublinyChar">
    <w:name w:val="Text bubliny Char"/>
    <w:basedOn w:val="Standardnpsmoodstavce"/>
    <w:link w:val="Textbubliny"/>
    <w:uiPriority w:val="99"/>
    <w:semiHidden/>
    <w:qFormat/>
    <w:rsid w:val="009B069A"/>
    <w:rPr>
      <w:rFonts w:ascii="Tahoma" w:hAnsi="Tahoma" w:cs="Tahoma"/>
      <w:sz w:val="16"/>
      <w:szCs w:val="16"/>
    </w:rPr>
  </w:style>
  <w:style w:type="character" w:styleId="Nzevknihy">
    <w:name w:val="Book Title"/>
    <w:uiPriority w:val="33"/>
    <w:qFormat/>
    <w:rsid w:val="002919FD"/>
    <w:rPr>
      <w:rFonts w:asciiTheme="minorHAnsi" w:eastAsia="Times New Roman" w:hAnsiTheme="minorHAnsi" w:cs="Times New Roman"/>
      <w:b/>
      <w:caps/>
      <w:color w:val="0070C0"/>
      <w:sz w:val="44"/>
      <w:szCs w:val="44"/>
    </w:rPr>
  </w:style>
  <w:style w:type="character" w:customStyle="1" w:styleId="Internetovodkaz">
    <w:name w:val="Internetový odkaz"/>
    <w:basedOn w:val="Standardnpsmoodstavce"/>
    <w:uiPriority w:val="99"/>
    <w:unhideWhenUsed/>
    <w:rsid w:val="005B4A98"/>
    <w:rPr>
      <w:color w:val="0000FF" w:themeColor="hyperlink"/>
      <w:u w:val="single"/>
    </w:rPr>
  </w:style>
  <w:style w:type="character" w:customStyle="1" w:styleId="Nadpis1Char">
    <w:name w:val="Nadpis 1 Char"/>
    <w:basedOn w:val="Standardnpsmoodstavce"/>
    <w:link w:val="Nadpis1"/>
    <w:qFormat/>
    <w:rsid w:val="00E8387D"/>
    <w:rPr>
      <w:rFonts w:asciiTheme="minorHAnsi" w:hAnsiTheme="minorHAnsi"/>
      <w:b/>
      <w:color w:val="0070C0"/>
      <w:sz w:val="32"/>
      <w:szCs w:val="32"/>
    </w:rPr>
  </w:style>
  <w:style w:type="character" w:customStyle="1" w:styleId="Nadpiss2Char">
    <w:name w:val="Nadpiss 2 Char"/>
    <w:basedOn w:val="Nadpis1Char"/>
    <w:link w:val="Nadpiss2"/>
    <w:qFormat/>
    <w:rsid w:val="00DE0E9C"/>
    <w:rPr>
      <w:rFonts w:asciiTheme="minorHAnsi" w:hAnsiTheme="minorHAnsi"/>
      <w:b/>
      <w:color w:val="0070C0"/>
      <w:sz w:val="28"/>
      <w:szCs w:val="28"/>
    </w:rPr>
  </w:style>
  <w:style w:type="character" w:customStyle="1" w:styleId="Nadpis2Char">
    <w:name w:val="Nadpis 2 Char"/>
    <w:basedOn w:val="Standardnpsmoodstavce"/>
    <w:link w:val="Nadpis2"/>
    <w:qFormat/>
    <w:rsid w:val="00661581"/>
    <w:rPr>
      <w:sz w:val="32"/>
      <w:szCs w:val="32"/>
    </w:rPr>
  </w:style>
  <w:style w:type="character" w:customStyle="1" w:styleId="Nadpiss3Char">
    <w:name w:val="Nadpiss 3 Char"/>
    <w:basedOn w:val="Nadpis2Char"/>
    <w:link w:val="Nadpiss3"/>
    <w:qFormat/>
    <w:rsid w:val="00661581"/>
    <w:rPr>
      <w:rFonts w:asciiTheme="minorHAnsi" w:eastAsia="Times New Roman" w:hAnsiTheme="minorHAnsi" w:cs="Times New Roman"/>
      <w:b/>
      <w:color w:val="0070C0"/>
      <w:sz w:val="26"/>
      <w:szCs w:val="26"/>
    </w:rPr>
  </w:style>
  <w:style w:type="character" w:customStyle="1" w:styleId="TextpoznpodarouChar">
    <w:name w:val="Text pozn. pod čarou Char"/>
    <w:basedOn w:val="Standardnpsmoodstavce"/>
    <w:link w:val="Textpoznpodarou"/>
    <w:uiPriority w:val="99"/>
    <w:semiHidden/>
    <w:qFormat/>
    <w:rsid w:val="003059AB"/>
    <w:rPr>
      <w:sz w:val="20"/>
      <w:szCs w:val="20"/>
    </w:rPr>
  </w:style>
  <w:style w:type="character" w:styleId="Znakapoznpodarou">
    <w:name w:val="footnote reference"/>
    <w:basedOn w:val="Standardnpsmoodstavce"/>
    <w:uiPriority w:val="99"/>
    <w:semiHidden/>
    <w:unhideWhenUsed/>
    <w:qFormat/>
    <w:rsid w:val="003059AB"/>
    <w:rPr>
      <w:vertAlign w:val="superscript"/>
    </w:rPr>
  </w:style>
  <w:style w:type="character" w:customStyle="1" w:styleId="Napdiss2Char">
    <w:name w:val="Napdiss 2 Char"/>
    <w:basedOn w:val="Nadpiss2Char"/>
    <w:link w:val="Napdiss2"/>
    <w:qFormat/>
    <w:rsid w:val="00CF149D"/>
    <w:rPr>
      <w:rFonts w:asciiTheme="minorHAnsi" w:hAnsiTheme="minorHAnsi"/>
      <w:b/>
      <w:color w:val="0070C0"/>
      <w:sz w:val="28"/>
      <w:szCs w:val="28"/>
    </w:rPr>
  </w:style>
  <w:style w:type="character" w:customStyle="1" w:styleId="Nadpis7Char">
    <w:name w:val="Nadpis 7 Char"/>
    <w:basedOn w:val="Standardnpsmoodstavce"/>
    <w:link w:val="Nadpis7"/>
    <w:uiPriority w:val="9"/>
    <w:qFormat/>
    <w:rsid w:val="00E8328F"/>
    <w:rPr>
      <w:rFonts w:asciiTheme="majorHAnsi" w:eastAsiaTheme="majorEastAsia" w:hAnsiTheme="majorHAnsi" w:cstheme="majorBidi"/>
      <w:i/>
      <w:iCs/>
      <w:color w:val="404040" w:themeColor="text1" w:themeTint="BF"/>
    </w:rPr>
  </w:style>
  <w:style w:type="character" w:customStyle="1" w:styleId="PedmtkomenteChar">
    <w:name w:val="Předmět komentáře Char"/>
    <w:basedOn w:val="TextkomenteChar"/>
    <w:link w:val="Pedmtkomente"/>
    <w:uiPriority w:val="99"/>
    <w:semiHidden/>
    <w:qFormat/>
    <w:rsid w:val="00E02750"/>
    <w:rPr>
      <w:b/>
      <w:bCs/>
      <w:sz w:val="20"/>
      <w:szCs w:val="20"/>
    </w:rPr>
  </w:style>
  <w:style w:type="character" w:customStyle="1" w:styleId="ListLabel1">
    <w:name w:val="ListLabel 1"/>
    <w:qFormat/>
    <w:rPr>
      <w:b/>
    </w:rPr>
  </w:style>
  <w:style w:type="character" w:customStyle="1" w:styleId="ListLabel2">
    <w:name w:val="ListLabel 2"/>
    <w:qFormat/>
    <w:rPr>
      <w:sz w:val="40"/>
      <w:u w:val="none"/>
    </w:rPr>
  </w:style>
  <w:style w:type="character" w:customStyle="1" w:styleId="ListLabel3">
    <w:name w:val="ListLabel 3"/>
    <w:qFormat/>
    <w:rPr>
      <w:b/>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qFormat/>
    <w:rPr>
      <w:sz w:val="24"/>
      <w:szCs w:val="22"/>
    </w:rPr>
  </w:style>
  <w:style w:type="character" w:customStyle="1" w:styleId="ListLabel5">
    <w:name w:val="ListLabel 5"/>
    <w:qFormat/>
    <w:rPr>
      <w:rFonts w:cs="Courier New"/>
    </w:rPr>
  </w:style>
  <w:style w:type="character" w:customStyle="1" w:styleId="Odkaznarejstk">
    <w:name w:val="Odkaz na rejstřík"/>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Tlotextu"/>
    <w:qFormat/>
    <w:pPr>
      <w:keepNext/>
      <w:spacing w:before="240" w:after="120"/>
    </w:pPr>
    <w:rPr>
      <w:rFonts w:ascii="Liberation Sans" w:eastAsia="Microsoft YaHei" w:hAnsi="Liberation Sans"/>
      <w:sz w:val="28"/>
      <w:szCs w:val="28"/>
    </w:rPr>
  </w:style>
  <w:style w:type="paragraph" w:customStyle="1" w:styleId="Tlotextu">
    <w:name w:val="Tělo textu"/>
    <w:basedOn w:val="Normln"/>
    <w:pPr>
      <w:spacing w:after="140" w:line="288" w:lineRule="auto"/>
    </w:pPr>
  </w:style>
  <w:style w:type="paragraph" w:styleId="Seznam">
    <w:name w:val="List"/>
    <w:basedOn w:val="Tlotextu"/>
  </w:style>
  <w:style w:type="paragraph" w:customStyle="1" w:styleId="Popisek">
    <w:name w:val="Popisek"/>
    <w:basedOn w:val="Normln"/>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Nzev">
    <w:name w:val="Title"/>
    <w:basedOn w:val="Normln"/>
    <w:pPr>
      <w:keepNext/>
      <w:keepLines/>
      <w:spacing w:after="60"/>
    </w:pPr>
    <w:rPr>
      <w:sz w:val="52"/>
      <w:szCs w:val="52"/>
    </w:rPr>
  </w:style>
  <w:style w:type="paragraph" w:customStyle="1" w:styleId="Podtitul1">
    <w:name w:val="Podtitul1"/>
    <w:basedOn w:val="Normln"/>
    <w:pPr>
      <w:keepNext/>
      <w:keepLines/>
      <w:spacing w:after="320"/>
    </w:pPr>
    <w:rPr>
      <w:color w:val="666666"/>
      <w:sz w:val="30"/>
      <w:szCs w:val="30"/>
    </w:rPr>
  </w:style>
  <w:style w:type="paragraph" w:styleId="Textkomente">
    <w:name w:val="annotation text"/>
    <w:basedOn w:val="Normln"/>
    <w:link w:val="TextkomenteChar"/>
    <w:uiPriority w:val="99"/>
    <w:semiHidden/>
    <w:unhideWhenUsed/>
    <w:qFormat/>
    <w:pPr>
      <w:spacing w:line="240" w:lineRule="auto"/>
    </w:pPr>
    <w:rPr>
      <w:sz w:val="20"/>
      <w:szCs w:val="20"/>
    </w:rPr>
  </w:style>
  <w:style w:type="paragraph" w:styleId="Textbubliny">
    <w:name w:val="Balloon Text"/>
    <w:basedOn w:val="Normln"/>
    <w:link w:val="TextbublinyChar"/>
    <w:uiPriority w:val="99"/>
    <w:semiHidden/>
    <w:unhideWhenUsed/>
    <w:qFormat/>
    <w:rsid w:val="009B069A"/>
    <w:pPr>
      <w:spacing w:line="240" w:lineRule="auto"/>
    </w:pPr>
    <w:rPr>
      <w:rFonts w:ascii="Tahoma" w:hAnsi="Tahoma" w:cs="Tahoma"/>
      <w:sz w:val="16"/>
      <w:szCs w:val="16"/>
    </w:rPr>
  </w:style>
  <w:style w:type="paragraph" w:styleId="Odstavecseseznamem">
    <w:name w:val="List Paragraph"/>
    <w:basedOn w:val="Normln"/>
    <w:uiPriority w:val="34"/>
    <w:qFormat/>
    <w:rsid w:val="00CB1FD1"/>
    <w:pPr>
      <w:ind w:left="720"/>
      <w:contextualSpacing/>
    </w:pPr>
  </w:style>
  <w:style w:type="paragraph" w:customStyle="1" w:styleId="Nadpiss2">
    <w:name w:val="Nadpiss 2"/>
    <w:basedOn w:val="Nadpis1"/>
    <w:link w:val="Nadpiss2Char"/>
    <w:qFormat/>
    <w:rsid w:val="00DE0E9C"/>
    <w:pPr>
      <w:numPr>
        <w:numId w:val="0"/>
      </w:numPr>
      <w:ind w:left="720" w:hanging="567"/>
    </w:pPr>
    <w:rPr>
      <w:sz w:val="28"/>
      <w:szCs w:val="28"/>
    </w:rPr>
  </w:style>
  <w:style w:type="paragraph" w:customStyle="1" w:styleId="Nadpiss3">
    <w:name w:val="Nadpiss 3"/>
    <w:basedOn w:val="Nadpis2"/>
    <w:link w:val="Nadpiss3Char"/>
    <w:qFormat/>
    <w:rsid w:val="00661581"/>
    <w:pPr>
      <w:widowControl w:val="0"/>
      <w:spacing w:before="0" w:after="288" w:line="240" w:lineRule="auto"/>
      <w:ind w:left="426" w:hanging="85"/>
      <w:contextualSpacing/>
      <w:jc w:val="center"/>
    </w:pPr>
    <w:rPr>
      <w:rFonts w:asciiTheme="minorHAnsi" w:eastAsia="Times New Roman" w:hAnsiTheme="minorHAnsi" w:cs="Times New Roman"/>
      <w:b/>
      <w:color w:val="0070C0"/>
      <w:sz w:val="26"/>
      <w:szCs w:val="26"/>
    </w:rPr>
  </w:style>
  <w:style w:type="paragraph" w:styleId="Textpoznpodarou">
    <w:name w:val="footnote text"/>
    <w:basedOn w:val="Normln"/>
    <w:link w:val="TextpoznpodarouChar"/>
    <w:uiPriority w:val="99"/>
    <w:semiHidden/>
    <w:unhideWhenUsed/>
    <w:qFormat/>
    <w:rsid w:val="003059AB"/>
    <w:pPr>
      <w:spacing w:line="240" w:lineRule="auto"/>
    </w:pPr>
    <w:rPr>
      <w:sz w:val="20"/>
      <w:szCs w:val="20"/>
    </w:rPr>
  </w:style>
  <w:style w:type="paragraph" w:styleId="Obsah2">
    <w:name w:val="toc 2"/>
    <w:basedOn w:val="Normln"/>
    <w:autoRedefine/>
    <w:uiPriority w:val="39"/>
    <w:unhideWhenUsed/>
    <w:rsid w:val="00CC17BB"/>
    <w:pPr>
      <w:spacing w:before="120"/>
      <w:ind w:left="220"/>
    </w:pPr>
    <w:rPr>
      <w:rFonts w:asciiTheme="minorHAnsi" w:hAnsiTheme="minorHAnsi"/>
      <w:i/>
      <w:iCs/>
      <w:sz w:val="20"/>
      <w:szCs w:val="20"/>
    </w:rPr>
  </w:style>
  <w:style w:type="paragraph" w:styleId="Obsah1">
    <w:name w:val="toc 1"/>
    <w:basedOn w:val="Normln"/>
    <w:autoRedefine/>
    <w:uiPriority w:val="39"/>
    <w:unhideWhenUsed/>
    <w:rsid w:val="009A42D3"/>
    <w:pPr>
      <w:tabs>
        <w:tab w:val="left" w:pos="440"/>
        <w:tab w:val="right" w:leader="dot" w:pos="9016"/>
      </w:tabs>
      <w:spacing w:before="240" w:after="120"/>
    </w:pPr>
    <w:rPr>
      <w:rFonts w:asciiTheme="minorHAnsi" w:hAnsiTheme="minorHAnsi"/>
      <w:bCs/>
      <w:sz w:val="24"/>
      <w:szCs w:val="24"/>
    </w:rPr>
  </w:style>
  <w:style w:type="paragraph" w:styleId="Obsah3">
    <w:name w:val="toc 3"/>
    <w:basedOn w:val="Normln"/>
    <w:autoRedefine/>
    <w:uiPriority w:val="39"/>
    <w:unhideWhenUsed/>
    <w:rsid w:val="00CC17BB"/>
    <w:pPr>
      <w:ind w:left="440"/>
    </w:pPr>
    <w:rPr>
      <w:rFonts w:asciiTheme="minorHAnsi" w:hAnsiTheme="minorHAnsi"/>
      <w:sz w:val="20"/>
      <w:szCs w:val="20"/>
    </w:rPr>
  </w:style>
  <w:style w:type="paragraph" w:styleId="Obsah4">
    <w:name w:val="toc 4"/>
    <w:basedOn w:val="Normln"/>
    <w:autoRedefine/>
    <w:uiPriority w:val="39"/>
    <w:unhideWhenUsed/>
    <w:rsid w:val="00CC17BB"/>
    <w:pPr>
      <w:ind w:left="660"/>
    </w:pPr>
    <w:rPr>
      <w:rFonts w:asciiTheme="minorHAnsi" w:hAnsiTheme="minorHAnsi"/>
      <w:sz w:val="20"/>
      <w:szCs w:val="20"/>
    </w:rPr>
  </w:style>
  <w:style w:type="paragraph" w:styleId="Obsah5">
    <w:name w:val="toc 5"/>
    <w:basedOn w:val="Normln"/>
    <w:autoRedefine/>
    <w:uiPriority w:val="39"/>
    <w:unhideWhenUsed/>
    <w:rsid w:val="00CC17BB"/>
    <w:pPr>
      <w:ind w:left="880"/>
    </w:pPr>
    <w:rPr>
      <w:rFonts w:asciiTheme="minorHAnsi" w:hAnsiTheme="minorHAnsi"/>
      <w:sz w:val="20"/>
      <w:szCs w:val="20"/>
    </w:rPr>
  </w:style>
  <w:style w:type="paragraph" w:styleId="Obsah6">
    <w:name w:val="toc 6"/>
    <w:basedOn w:val="Normln"/>
    <w:autoRedefine/>
    <w:uiPriority w:val="39"/>
    <w:unhideWhenUsed/>
    <w:rsid w:val="00CC17BB"/>
    <w:pPr>
      <w:ind w:left="1100"/>
    </w:pPr>
    <w:rPr>
      <w:rFonts w:asciiTheme="minorHAnsi" w:hAnsiTheme="minorHAnsi"/>
      <w:sz w:val="20"/>
      <w:szCs w:val="20"/>
    </w:rPr>
  </w:style>
  <w:style w:type="paragraph" w:styleId="Obsah7">
    <w:name w:val="toc 7"/>
    <w:basedOn w:val="Normln"/>
    <w:autoRedefine/>
    <w:uiPriority w:val="39"/>
    <w:unhideWhenUsed/>
    <w:rsid w:val="00CC17BB"/>
    <w:pPr>
      <w:ind w:left="1320"/>
    </w:pPr>
    <w:rPr>
      <w:rFonts w:asciiTheme="minorHAnsi" w:hAnsiTheme="minorHAnsi"/>
      <w:sz w:val="20"/>
      <w:szCs w:val="20"/>
    </w:rPr>
  </w:style>
  <w:style w:type="paragraph" w:styleId="Obsah8">
    <w:name w:val="toc 8"/>
    <w:basedOn w:val="Normln"/>
    <w:autoRedefine/>
    <w:uiPriority w:val="39"/>
    <w:unhideWhenUsed/>
    <w:rsid w:val="00CC17BB"/>
    <w:pPr>
      <w:ind w:left="1540"/>
    </w:pPr>
    <w:rPr>
      <w:rFonts w:asciiTheme="minorHAnsi" w:hAnsiTheme="minorHAnsi"/>
      <w:sz w:val="20"/>
      <w:szCs w:val="20"/>
    </w:rPr>
  </w:style>
  <w:style w:type="paragraph" w:styleId="Obsah9">
    <w:name w:val="toc 9"/>
    <w:basedOn w:val="Normln"/>
    <w:autoRedefine/>
    <w:uiPriority w:val="39"/>
    <w:unhideWhenUsed/>
    <w:rsid w:val="00CC17BB"/>
    <w:pPr>
      <w:ind w:left="1760"/>
    </w:pPr>
    <w:rPr>
      <w:rFonts w:asciiTheme="minorHAnsi" w:hAnsiTheme="minorHAnsi"/>
      <w:sz w:val="20"/>
      <w:szCs w:val="20"/>
    </w:rPr>
  </w:style>
  <w:style w:type="paragraph" w:customStyle="1" w:styleId="Napdiss2">
    <w:name w:val="Napdiss 2"/>
    <w:basedOn w:val="Nadpiss2"/>
    <w:link w:val="Napdiss2Char"/>
    <w:qFormat/>
    <w:rsid w:val="00CF149D"/>
  </w:style>
  <w:style w:type="paragraph" w:styleId="Bezmezer">
    <w:name w:val="No Spacing"/>
    <w:uiPriority w:val="1"/>
    <w:qFormat/>
    <w:rsid w:val="00E8328F"/>
    <w:pPr>
      <w:spacing w:line="240" w:lineRule="auto"/>
    </w:pPr>
  </w:style>
  <w:style w:type="paragraph" w:styleId="Pedmtkomente">
    <w:name w:val="annotation subject"/>
    <w:basedOn w:val="Textkomente"/>
    <w:link w:val="PedmtkomenteChar"/>
    <w:uiPriority w:val="99"/>
    <w:semiHidden/>
    <w:unhideWhenUsed/>
    <w:qFormat/>
    <w:rsid w:val="00E02750"/>
    <w:rPr>
      <w:b/>
      <w:bCs/>
    </w:rPr>
  </w:style>
  <w:style w:type="paragraph" w:customStyle="1" w:styleId="Normln1">
    <w:name w:val="Normální1"/>
    <w:qFormat/>
    <w:rsid w:val="00694677"/>
    <w:pPr>
      <w:spacing w:after="200"/>
    </w:pPr>
    <w:rPr>
      <w:rFonts w:ascii="Cambria" w:eastAsia="Cambria" w:hAnsi="Cambria" w:cs="Cambria"/>
      <w:lang w:val="cs-CZ"/>
    </w:rPr>
  </w:style>
  <w:style w:type="paragraph" w:styleId="Revize">
    <w:name w:val="Revision"/>
    <w:uiPriority w:val="99"/>
    <w:semiHidden/>
    <w:qFormat/>
    <w:rsid w:val="0016071D"/>
    <w:pPr>
      <w:spacing w:line="240" w:lineRule="auto"/>
    </w:pPr>
  </w:style>
  <w:style w:type="paragraph" w:customStyle="1" w:styleId="Poznmkapodarou">
    <w:name w:val="Poznámka pod čarou"/>
    <w:basedOn w:val="Normln"/>
  </w:style>
  <w:style w:type="paragraph" w:styleId="Zhlav">
    <w:name w:val="header"/>
    <w:basedOn w:val="Normln"/>
  </w:style>
  <w:style w:type="paragraph" w:styleId="Zpat">
    <w:name w:val="footer"/>
    <w:basedOn w:val="Normln"/>
  </w:style>
  <w:style w:type="paragraph" w:customStyle="1" w:styleId="Quotations">
    <w:name w:val="Quotations"/>
    <w:basedOn w:val="Normln"/>
    <w:qFormat/>
  </w:style>
  <w:style w:type="table" w:customStyle="1" w:styleId="TableNormal">
    <w:name w:val="Table Normal"/>
    <w:tblPr>
      <w:tblCellMar>
        <w:top w:w="0" w:type="dxa"/>
        <w:left w:w="0" w:type="dxa"/>
        <w:bottom w:w="0" w:type="dxa"/>
        <w:right w:w="0" w:type="dxa"/>
      </w:tblCellMar>
    </w:tblPr>
  </w:style>
  <w:style w:type="character" w:styleId="Hypertextovodkaz">
    <w:name w:val="Hyperlink"/>
    <w:basedOn w:val="Standardnpsmoodstavce"/>
    <w:uiPriority w:val="99"/>
    <w:unhideWhenUsed/>
    <w:rsid w:val="00E064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eurologove@mzcr.cz" TargetMode="External"/><Relationship Id="rId13" Type="http://schemas.openxmlformats.org/officeDocument/2006/relationships/hyperlink" Target="http://www.esfcr.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urologove@mzcr.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eurologove@mzcr.cz" TargetMode="External"/><Relationship Id="rId4" Type="http://schemas.openxmlformats.org/officeDocument/2006/relationships/settings" Target="settings.xml"/><Relationship Id="rId9" Type="http://schemas.openxmlformats.org/officeDocument/2006/relationships/hyperlink" Target="mailto:neurologove@mzcr.cz" TargetMode="External"/><Relationship Id="rId14" Type="http://schemas.openxmlformats.org/officeDocument/2006/relationships/hyperlink" Target="http://www.mzcr.cz/"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sfcr.cz/" TargetMode="External"/><Relationship Id="rId1" Type="http://schemas.openxmlformats.org/officeDocument/2006/relationships/hyperlink" Target="http://www.esfcr.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914F2-6EB6-41C4-AD66-71492D8E1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4986</Words>
  <Characters>29418</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Havlíková Jana Mgr.</dc:creator>
  <cp:lastModifiedBy>Marková Kateřina Ing.</cp:lastModifiedBy>
  <cp:revision>3</cp:revision>
  <cp:lastPrinted>2019-09-13T16:09:00Z</cp:lastPrinted>
  <dcterms:created xsi:type="dcterms:W3CDTF">2020-03-19T07:57:00Z</dcterms:created>
  <dcterms:modified xsi:type="dcterms:W3CDTF">2020-03-19T08:09:00Z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MZČR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